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https://www.autoritedelaconcurrence.fr/fr/decision-de-controle-des-concentrations/relative-la-prise-de-controle-conjoint-de-la-societe-52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13-DCC-35 of March 19, 2013  </w:t>
        <w:br/>
        <w:t xml:space="preserve">regarding the joint control acquisition of the company Cofledis  </w:t>
        <w:br/>
        <w:t xml:space="preserve">by the Carrefour group and the Médard consortium  </w:t>
        <w:br/>
        <w:t xml:space="preserve">The Competition Authority,  </w:t>
        <w:br/>
        <w:t xml:space="preserve">Having regard to the complete notification file submitted to the mergers department on February 15, 2013,  </w:t>
        <w:br/>
        <w:t xml:space="preserve">concerning the joint control acquisition of the company Cofledis by the Carrefour group, via the  </w:t>
        <w:br/>
        <w:t xml:space="preserve">company Amidis et Compagnie, and the Médard consortium, formalized by a memorandum of understanding  </w:t>
        <w:br/>
        <w:t xml:space="preserve">dated February 1,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Médard consortium and the  </w:t>
        <w:br/>
        <w:t xml:space="preserve">company Amidis et Compagnie, of the company Cofledis which will operate a retail business primarily focused on food under the Carrefour Market brand, with a surface area of  </w:t>
        <w:br/>
        <w:t xml:space="preserve">2,990 m² located in Fleurance (32).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13-032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