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https://www.autoritedelaconcurrence.fr/fr/decision-de-controle-des-concentrations/relative-la-prise-de-controle-conjoint-de-la-societe-53</w:t>
      </w:r>
    </w:p>
    <w:p>
      <w:r>
        <w:t>Pages translated : 2</w:t>
      </w:r>
    </w:p>
    <w:p/>
    <w:p>
      <w:r>
        <w:rPr>
          <w:b/>
        </w:rPr>
        <w:t>[Pages 1–2]</w:t>
      </w:r>
    </w:p>
    <w:p>
      <w:r>
        <w:t xml:space="preserve">FRENCH REPUBLIC  </w:t>
        <w:br/>
        <w:t xml:space="preserve">Decision No. 13-DCC-50 of May 2, 2013  </w:t>
        <w:br/>
        <w:t xml:space="preserve">regarding the joint control acquisition of the company Oulrich by the  </w:t>
        <w:br/>
        <w:t xml:space="preserve">companies ITM Entreprises and Matusadona  </w:t>
        <w:br/>
        <w:t xml:space="preserve">The Competition Authority,  </w:t>
        <w:br/>
        <w:t xml:space="preserve">Having regard to the complete notification file sent to the mergers department on March 27, 2013,  </w:t>
        <w:br/>
        <w:t xml:space="preserve">concerning the joint control acquisition of the company Oulrich by the companies ITM Entreprises and  </w:t>
        <w:br/>
        <w:t xml:space="preserve">Matusadona;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company Matusadona, whose capital is held by the Deshayes group, operates a  </w:t>
        <w:br/>
        <w:t xml:space="preserve">retail store in Carpentras (84). The notified operation consists of the joint control acquisition of the company Oulrich, which operates directly and through its subsidiary, the company Marpier, two points of sale primarily focused on food, with respective areas of 2,277 m² and 400 m², under the brands Intermarché and Netto in the city of Céret (66), by the companies ITM Entreprises and Matusadona. It constitutes a concentration operation within the meaning of Article L. 430-1 of the Commercial Code. Given the turnover achieved by the companies concerned, the operation does not have a community dimension.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13-045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