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https://www.autoritedelaconcurrence.fr/fr/decision-de-controle-des-concentrations/relative-la-prise-de-controle-conjoint-de-la-societe-54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13-DCC-52 of May 16, 2013  </w:t>
        <w:br/>
        <w:t xml:space="preserve">regarding the joint control of the company Galldis by the  </w:t>
        <w:br/>
        <w:t xml:space="preserve">Carrefour group and the Sonnic consortium  </w:t>
        <w:br/>
        <w:t>The Competition Authority,</w:t>
      </w:r>
    </w:p>
    <w:p>
      <w:r>
        <w:t xml:space="preserve">Having regard to the complete notification file sent to the mergers department on April 9, 2013,  </w:t>
        <w:br/>
        <w:t xml:space="preserve">concerning the acquisition of the company Galldis by the companies CSF and Balbia formalized by an  </w:t>
        <w:br/>
        <w:t>agreement dated February 18, 2013;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of the company Galldis, operating  </w:t>
        <w:br/>
        <w:t xml:space="preserve">a food-dominant retail outlet under the Carrefour Market brand in the city of Gallardon (28), by the company CSF, a subsidiary of the Carrefour group, alongside the Sonnic consortium.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13-052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