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https://www.autoritedelaconcurrence.fr/fr/decision-de-controle-des-concentrations/relative-la-prise-de-controle-conjoint-de-la-societe-55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13-DCC-53 of May 2, 2013  </w:t>
        <w:br/>
        <w:t xml:space="preserve">regarding the joint control acquisition  </w:t>
        <w:br/>
        <w:t xml:space="preserve">of the company Brimary Investments SARL  </w:t>
        <w:br/>
        <w:t xml:space="preserve">by the companies M1 International Limited and Mittal Investments SARL  </w:t>
        <w:br/>
        <w:t xml:space="preserve">The Competition Authority,  </w:t>
        <w:br/>
        <w:t xml:space="preserve">Having regard to the complete notification file submitted to the mergers department on April 3, 2013,  </w:t>
        <w:br/>
        <w:t xml:space="preserve">concerning the joint control acquisition of the company Brimary Investments SARL by the companies  </w:t>
        <w:br/>
        <w:t xml:space="preserve">M1 International Limited and Mittal Investments SARL, formalized by an agreement concluded on  </w:t>
        <w:br/>
        <w:t xml:space="preserve">January 14, 2013 between the company Mittal Investments SARL and the company M1 International  </w:t>
        <w:br/>
        <w:t xml:space="preserve">Limited;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Brimary  </w:t>
        <w:br/>
        <w:t xml:space="preserve">Investments, active in the United Kingdom in the sector of production and supply of  </w:t>
        <w:br/>
        <w:t xml:space="preserve">aggregates, cement, ready-mixed concrete, and asphalt, by the company M1 Investments  </w:t>
        <w:br/>
        <w:t xml:space="preserve">Limited, head of the M1 investment group, notably active in the management services sector,  </w:t>
        <w:br/>
        <w:t xml:space="preserve">the manufacturing of fashion items, telecommunications, energy, and in the real estate sector,  </w:t>
        <w:br/>
        <w:t xml:space="preserve">and by the company Mittal Investments SARL, a subsidiary of the Mittal group,  </w:t>
        <w:br/>
        <w:t xml:space="preserve">mainly active in the mining sector and in the steel industry. This operation  </w:t>
        <w:br/>
        <w:t xml:space="preserve">constitutes a concentration operation within the meaning of Article L. 430-1 of the Commercial Code.  </w:t>
        <w:br/>
        <w:t xml:space="preserve">2. Given the turnover achieved by the concerned companies, the operation does not  </w:t>
        <w:br/>
        <w:t xml:space="preserve">have a community dimension. On the other hand, the control thresholds related to  </w:t>
        <w:br/>
        <w:t xml:space="preserve">concentration operations mentioned in point I of Article L. 430-2 of the Commercial Code  </w:t>
        <w:br/>
        <w:t xml:space="preserve">are exceeded. This operation is therefore subject to the provisions of Articles L. 430-3 and  </w:t>
        <w:br/>
        <w:t xml:space="preserve">following of the Commercial Code relating to economic concentration.  </w:t>
        <w:br/>
        <w:t xml:space="preserve">3.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13-049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