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https://www.autoritedelaconcurrence.fr/fr/decision-de-controle-des-concentrations/relative-la-prise-de-controle-conjoint-de-la-societe-56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13-DCC-72 of June 24, 2013  </w:t>
        <w:br/>
        <w:t xml:space="preserve">regarding the joint control acquisition of the company Brunatis by the  </w:t>
        <w:br/>
        <w:t xml:space="preserve">company ITM Entreprises alongside the Labbe group  </w:t>
        <w:br/>
        <w:t xml:space="preserve">The Competition Authority,  </w:t>
        <w:br/>
        <w:t xml:space="preserve">Having regard to the complete notification file sent to the mergers department on May 23, 2013  </w:t>
        <w:br/>
        <w:t xml:space="preserve">concerning the joint control acquisition of the company Brunatis by the company ITM Entreprises  </w:t>
        <w:br/>
        <w:t xml:space="preserve">alongside the Labbe group, formalized by a draft amendment to the statutes of the company  </w:t>
        <w:br/>
        <w:t xml:space="preserve">Brunatis dated May 15, 2013;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of the company Brunatis, which operates  </w:t>
        <w:br/>
        <w:t xml:space="preserve">a retail business predominantly in food under the Intermarché brand in  </w:t>
        <w:br/>
        <w:t xml:space="preserve">Panazol (87), by the company ITM Entreprises alongside the Labbe group. It constitutes a  </w:t>
        <w:br/>
        <w:t xml:space="preserve">concentration operation within the meaning of Article L. 430-1 of the Commercial Code. Given  </w:t>
        <w:br/>
        <w:t xml:space="preserve">the turnover achieved by the companies concerned, the operation does not have a  </w:t>
        <w:br/>
        <w:t xml:space="preserve">community dimension. On the other hand, the control thresholds related to retail  </w:t>
        <w:br/>
        <w:t xml:space="preserve">mentioned in point II of Article L. 430-2 of the Commercial Code are exceeded. This  </w:t>
        <w:br/>
        <w:t xml:space="preserve">operation is therefore subject to the provisions of Articles L. 430-3 and following of the  </w:t>
        <w:br/>
        <w:t xml:space="preserve">Commercial Code relating to economic concentration.  </w:t>
        <w:br/>
        <w:t xml:space="preserve">2. In light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13-076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