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https://www.autoritedelaconcurrence.fr/fr/decision-de-controle-des-concentrations/relative-la-prise-de-controle-conjoint-de-la-societe-58</w:t>
      </w:r>
    </w:p>
    <w:p>
      <w:r>
        <w:t>Pages translated : 2</w:t>
      </w:r>
    </w:p>
    <w:p/>
    <w:p>
      <w:r>
        <w:rPr>
          <w:b/>
        </w:rPr>
        <w:t>[Pages 1–2]</w:t>
      </w:r>
    </w:p>
    <w:p>
      <w:r>
        <w:t xml:space="preserve">FRENCH REPUBLIC  </w:t>
        <w:br/>
        <w:t xml:space="preserve">Decision No. 14-DCC-107 of July 18, 2014  </w:t>
        <w:br/>
        <w:t xml:space="preserve">regarding the joint control acquisition of the company Guimanda  </w:t>
        <w:br/>
        <w:t xml:space="preserve">by the company Flomis alongside the company ITM Entreprises  </w:t>
        <w:br/>
        <w:t xml:space="preserve">The Competition Authority,  </w:t>
        <w:br/>
        <w:t xml:space="preserve">Having regard to the complete notification file submitted to the mergers department on June 19, 2014,  </w:t>
        <w:br/>
        <w:t xml:space="preserve">concerning the joint control acquisition of the company Guimanda by the company Flomis alongside  </w:t>
        <w:br/>
        <w:t xml:space="preserve">the company ITM Entreprises and formalized by a memorandum of understanding dated  </w:t>
        <w:br/>
        <w:t xml:space="preserve">June 16,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Guimanda, which  </w:t>
        <w:br/>
        <w:t xml:space="preserve">operates a business fund of food-dominant distribution under the Intermarché brand in the city of Gattières (06), by the company Flomis alongside ITM Entreprises. Flomis operates a retail outlet under the Intermarché brand located in Cantaron (06). This constitutes a concentration operation within the meaning of Article L. 430-1 of the Commercial Code. Given the revenues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14-107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