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https://www.autoritedelaconcurrence.fr/fr/decision-de-controle-des-concentrations/relative-la-prise-de-controle-conjoint-de-la-societe-59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14-DCC-110 of July 21, 2014  </w:t>
        <w:br/>
        <w:t xml:space="preserve">regarding the joint control acquisition of the company Argeper by the  </w:t>
        <w:br/>
        <w:t xml:space="preserve">company Rodin alongside ITM Entreprises  </w:t>
        <w:br/>
        <w:t xml:space="preserve">The Competition Authority,  </w:t>
        <w:br/>
        <w:t xml:space="preserve">Having regard to the complete notification file submitted to the mergers department on July 3, 2014,  </w:t>
        <w:br/>
        <w:t xml:space="preserve">concerning the joint control acquisition of the company Argeper by the company Rodin alongside  </w:t>
        <w:br/>
        <w:t xml:space="preserve">ITM Entreprises, and formalized by a share transfer agreement dated  </w:t>
        <w:br/>
        <w:t xml:space="preserve">June 25, 2014;  </w:t>
        <w:br/>
        <w:t xml:space="preserve">Having regard to Book IV of the Commercial Code relating to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of the company Argeper, operating  </w:t>
        <w:br/>
        <w:t xml:space="preserve">a hypermarket-type business predominantly selling food under the Intermarché brand in the city of  </w:t>
        <w:br/>
        <w:t xml:space="preserve">Argelès-sur-Mer (66), by the company Rodin alongside ITM Entreprises. It constitutes a concentration  </w:t>
        <w:br/>
        <w:t xml:space="preserve">operation within the meaning of Article L. 430-1 of the Commercial Code. Given the turnover generated by  </w:t>
        <w:br/>
        <w:t xml:space="preserve">the companies involved, the operation does not fall under the jurisdiction of the European Union.  </w:t>
        <w:br/>
        <w:t xml:space="preserve">However, the control thresholds related to retail trade mentioned in point II of Article L. 430-2 of the  </w:t>
        <w:br/>
        <w:t xml:space="preserve">Commercial Code are exceeded. This operation is therefore subject to the provisions of Articles L. 430-3  </w:t>
        <w:br/>
        <w:t xml:space="preserve">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14-117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