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https://www.autoritedelaconcurrence.fr/fr/decision-de-controle-des-concentrations/relative-la-prise-de-controle-conjoint-de-la-societe-6</w:t>
      </w:r>
    </w:p>
    <w:p>
      <w:r>
        <w:t>Pages translated : 3</w:t>
      </w:r>
    </w:p>
    <w:p/>
    <w:p>
      <w:r>
        <w:rPr>
          <w:b/>
        </w:rPr>
        <w:t>[Pages 1–3]</w:t>
      </w:r>
    </w:p>
    <w:p>
      <w:r>
        <w:t xml:space="preserve">FRENCH REPUBLIC  </w:t>
        <w:br/>
        <w:t xml:space="preserve">Decision No. 10-DCC-24 of March 9, 2010  </w:t>
        <w:br/>
        <w:t xml:space="preserve">regarding the joint control of the company Christian Bernard Diffusion by Butler Capital Partners  </w:t>
        <w:br/>
        <w:t xml:space="preserve">The Competition Authority,  </w:t>
        <w:br/>
        <w:t xml:space="preserve">Having regard to the notification file submitted in full to the concentrations service on February 22, 2010, regarding the project for Butler Capital Partners to acquire a stake in the company Christian Bernard Diffusion, formalized by the offer letter of November 10, 2009, and the "term sheet," signed on February 5, 2010, concerning the main terms of the stake acquisition;  </w:t>
        <w:br/>
        <w:t xml:space="preserve">Having regard to Book IV of the Commercial Code relating to the freedom of prices and competition, and in particular its Articles L. 430-1 to L. 430-7;  </w:t>
        <w:br/>
        <w:t xml:space="preserve">Adopts the following decision:  </w:t>
        <w:br/>
        <w:t xml:space="preserve">I. The companies concerned and the operation  </w:t>
        <w:br/>
        <w:t xml:space="preserve">1. Butler Capital Partners (hereinafter "BCP"), a public limited company under French law, is a portfolio management company whose capital is held to the extent of [Confidential] % by the company WB Finance et Partenaires (hereinafter "WBFP"). WBFP is itself held to the extent of [Confidential] % by Mr. Walter Butler (hereinafter "the BCP group"). BCP currently manages the funds FCPR France Private Equity II (hereinafter "FPEII") and France Private Equity III (hereinafter "FPEIII") which hold controlling interests in the capital of companies active in various fields such as the rental of aerial work platforms and forklifts; costume, mask, and party goods; the production, processing, and marketing of mushrooms; road transport; the manufacture of rubber injection molding machines; industrial messaging and express services as well as the distribution of cultural products. The BCP Group also holds, through WBFP, a controlling interest in the capital of the company Osiatis, a company active in IT services (maintenance, outsourcing, solution integration). The shareholders of the FPEII and FPEIII funds are institutional investors, mostly composed of fund of funds, pension funds, and foundations. None of these investors is able to exert any influence on the decisions made by the bodies of BCP, WBFP, or the FPEII and FPEIII funds. The BCP group achieved, in 2008, a global turnover excluding taxes of [Confidential] million euros, of which [&gt;50] million euros in France.  </w:t>
        <w:br/>
        <w:t xml:space="preserve">2. The company Christian Bernard Diffusion (hereinafter "CBD"), a public limited company under French law, is jointly controlled by its two founders, Messrs. Bernard Nguyen and Patrick Martin-Prével, who hold respectively [Confidential] % and [Confidential] % of its share capital. CBD (and its subsidiaries) creates, manufactures, and distributes jewelry and watchmaking articles. CBD has developed 9 proprietary brands and distributes, in addition to its brands, licensed products (such as [Confidential]), both in the wholesale and retail markets. In the retail market, CBD has developed its presence through the jewelry chain "Oro-Vivo." Furthermore, CBD ensures the distribution of its products online on the website "Edenly." CBD achieved, in 2008, a global turnover excluding taxes of 167 million euros, of which [&gt;50] million euros in France.  </w:t>
        <w:br/>
        <w:t xml:space="preserve">3. The envisaged operation takes the form of a subscription to a share issuance with stock warrants ("ABSA") reserved for BCP allowing BCP to hold [Confidential] % of the share capital of CBD (after the capital reductions through loss absorption). The founding partners will jointly hold the remaining [Confidential] % of the share capital of CBD and will group their holdings within a holding company to be established within three months of the operation. At the end of the envisaged operation, CBD will be transformed into a simplified joint-stock company ("SAS"). The supervisory committee of CBD will be composed of 5 members, two of whom will be chosen by BCP, two by the founding partners, and one by the holding company. The latter will assume the role of President. A reinforced majority, having the effect of granting a veto right to BCP and the holding company, will be required for the adoption of strategic decisions (including in particular the appointment or dismissal of the President, members of the management committee, approval of the annual budget, and approval of significant investments).  </w:t>
        <w:br/>
        <w:t xml:space="preserve">4. It follows from the above that the envisaged operation results in the joint control of CBD by BCP, with its founders retaining joint control, and constitutes a concentration within the meaning of Article L. 430-1 of the Commercial Code. Given the turnover of the companies concerned, this operation does not have a community dimension. However, the thresholds provided for in I of Article L. 430-2 of the Commercial Code are exceeded. The proposed operation therefore falls within the scope of Articles L. 430-3 and following of the Commercial Code relating to economic concentration.  </w:t>
        <w:br/>
        <w:t xml:space="preserve">II. Competitive analysis  </w:t>
        <w:br/>
        <w:t xml:space="preserve">5. CBD is active in the sector of creation, manufacturing, and distribution (wholesale, retail, and online commerce) of jewelry and watchmaking articles. None of the companies currently held by the BCP group is active in the aforementioned markets nor in markets that have vertical or related links with them. Consequently, the notified operation is not likely to harm competition.  </w:t>
        <w:br/>
        <w:t xml:space="preserve">DECIDES  </w:t>
        <w:br/>
        <w:t xml:space="preserve">Single Article: The operation notified under number 10-0016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