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https://www.autoritedelaconcurrence.fr/fr/decision-de-controle-des-concentrations/relative-la-prise-de-controle-conjoint-de-la-societe-60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14-DCC-126 of August 28, 2014  </w:t>
        <w:br/>
        <w:t xml:space="preserve">regarding the joint control acquisition of the company Titoine by the  </w:t>
        <w:br/>
        <w:t xml:space="preserve">company Arcalot alongside ITM Entreprises  </w:t>
        <w:br/>
        <w:t xml:space="preserve">The Competition Authority,  </w:t>
        <w:br/>
        <w:t xml:space="preserve">Having regard to the complete notification file sent to the mergers department on August 6, 2014,  </w:t>
        <w:br/>
        <w:t xml:space="preserve">concerning the joint control acquisition of the company Titoine by the company Arcalot alongside  </w:t>
        <w:br/>
        <w:t xml:space="preserve">ITM Entreprises, and materialized by a letter of intent and a draft share transfer agreement,  </w:t>
        <w:br/>
        <w:t xml:space="preserve">dated July 30,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Titoine, which operates  </w:t>
        <w:br/>
        <w:t xml:space="preserve">a retail business predominantly in food under the Ecomarché brand in  </w:t>
        <w:br/>
        <w:t xml:space="preserve">the city of Pérignat-sur-Allier (63), by the company Arcalot alongside ITM Entreprises. The  </w:t>
        <w:br/>
        <w:t xml:space="preserve">company Arcalot operates retail outlets located in Pont-du-Château  </w:t>
        <w:br/>
        <w:t xml:space="preserve">(63) under the Intermarché and Netto brands. This operation constitutes a concentration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However, the  </w:t>
        <w:br/>
        <w:t xml:space="preserve">control thresholds related to retail mentioned in point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14-145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