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https://www.autoritedelaconcurrence.fr/fr/decision-de-controle-des-concentrations/relative-la-prise-de-controle-conjoint-de-la-societe-61</w:t>
      </w:r>
    </w:p>
    <w:p>
      <w:r>
        <w:t>Pages translated : 2</w:t>
      </w:r>
    </w:p>
    <w:p/>
    <w:p>
      <w:r>
        <w:rPr>
          <w:b/>
        </w:rPr>
        <w:t>[Pages 1–2]</w:t>
      </w:r>
    </w:p>
    <w:p>
      <w:r>
        <w:t xml:space="preserve">FRENCH REPUBLIC  </w:t>
        <w:br/>
        <w:t xml:space="preserve">Decision No. 14-DCC-127 of August 28, 2014  </w:t>
        <w:br/>
        <w:t xml:space="preserve">regarding the joint control acquisition of the company Financière Evariste  </w:t>
        <w:br/>
        <w:t xml:space="preserve">by Montefiore Investment and Mr. Raphaël Mucci  </w:t>
        <w:br/>
        <w:t>The Competition Authority,</w:t>
      </w:r>
    </w:p>
    <w:p>
      <w:r>
        <w:t>Having regard to the complete notification file submitted to the mergers department on August 6, 2014, concerning the joint control acquisition of the company Financière Evariste by Montefiore Investment and Mr. Raphaël Mucci, formalized by an agreement dated September 20, 2013, its amendment of August 5, 2014, and an investment agreement of August 1, 2014;</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Mr. Raphaël Mucci and the risk capital mutual fund Montefiore Investment III, managed by Montefiore Investment, of the company Financière Evariste SA, active in the sectors of public works, the creation of green spaces, and services to businesses (cleaning and temporary work). This operation constitutes a concentration within the meaning of Article L. 430-1 of the Commercial Code. Given the revenues generated by the companies concerned, the operation does not have a community dimension. However,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14-146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