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https://www.autoritedelaconcurrence.fr/fr/decision-de-controle-des-concentrations/relative-la-prise-de-controle-conjoint-de-la-societe-63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14-DCC-174 of November 20, 2014  </w:t>
        <w:br/>
        <w:t xml:space="preserve">regarding the joint control acquisition of the company Lonpres by the  </w:t>
        <w:br/>
        <w:t xml:space="preserve">company Haldan alongside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24, 2014, concerning the joint control acquisition of the company Lonpres by the company  </w:t>
        <w:br/>
        <w:t xml:space="preserve">Haldan alongside ITM Entreprises, and formalized by a share transfer agreement dated  </w:t>
        <w:br/>
        <w:t xml:space="preserve">October 20,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Lonpres, operating  </w:t>
        <w:br/>
        <w:t xml:space="preserve">a retail sales outlet primarily focused on food under the Ecomarché brand  </w:t>
        <w:br/>
        <w:t xml:space="preserve">in the city of Longny au Perche (61) by the company Haldan alongside ITM Entreprises.  </w:t>
        <w:br/>
        <w:t xml:space="preserve">It constitutes a concentration operation within the meaning of Article L. 430-1 of the Commercial Code.  </w:t>
        <w:br/>
        <w:t xml:space="preserve">Given the turnover achieved by the companies concerned,  </w:t>
        <w:br/>
        <w:t xml:space="preserve">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14-191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