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https://www.autoritedelaconcurrence.fr/fr/decision-de-controle-des-concentrations/relative-la-prise-de-controle-conjoint-de-la-societe-64</w:t>
      </w:r>
    </w:p>
    <w:p>
      <w:r>
        <w:t>Pages translated : 2</w:t>
      </w:r>
    </w:p>
    <w:p/>
    <w:p>
      <w:r>
        <w:rPr>
          <w:b/>
        </w:rPr>
        <w:t>[Pages 1–2]</w:t>
      </w:r>
    </w:p>
    <w:p>
      <w:r>
        <w:t>FRENCH REPUBLIC</w:t>
        <w:br/>
        <w:t>Decision No. 14-DCC-180 of December 5, 2014</w:t>
        <w:br/>
        <w:t>regarding the joint control acquisition of the company Pamapafr by ITM</w:t>
        <w:br/>
        <w:t>Entreprises and the company Selidev</w:t>
        <w:br/>
        <w:t>The Competition Authority,</w:t>
        <w:br/>
        <w:t>Having regard to the complete notification file submitted to the mergers department on November 3,</w:t>
        <w:br/>
        <w:t>2014, concerning the joint control acquisition of the company Pamapafr by the company Selidev alongside</w:t>
        <w:br/>
        <w:t>ITM Entreprises, and formalized by a transfer protocol dated October 14,</w:t>
        <w:br/>
        <w:t>2014;</w:t>
        <w:br/>
        <w:t>Having regard to Book IV of the Commercial Code relating to the freedom of prices and competition, and</w:t>
        <w:br/>
        <w:t>notably its Articles L. 430-1 to L. 430-7;</w:t>
        <w:br/>
        <w:t>Adopts the following decision:</w:t>
        <w:br/>
        <w:t>1. The notified operation consists of the joint control acquisition of the company Pamapafr,</w:t>
        <w:br/>
        <w:t>operating a supermarket-type business predominantly food-oriented under the Intermarché brand in the city of Montmélian (73), by the company Selidev alongside ITM</w:t>
        <w:br/>
        <w:t>Entreprises. This operation constitutes a concentration within the meaning of Article L. 430-1 of the Commercial Code. Given the turnover achieved by the companies concerned,</w:t>
        <w:br/>
        <w:t>the operation does not fall under the jurisdiction of the European Union. On the other hand, the control thresholds related to retail trade mentioned in point II of Article L. 430-2 of the Commercial Code are exceeded. The present operation is therefore subject to the provisions of Articles</w:t>
        <w:br/>
        <w:t>L. 430-3 and following of the Commercial Code relating to economic concentration.</w:t>
        <w:br/>
        <w:t>2. In light of the elements of the file, the operation is not likely to harm competition in the relevant markets.</w:t>
      </w:r>
    </w:p>
    <w:p>
      <w:r>
        <w:t>DECIDES</w:t>
        <w:br/>
        <w:t>Sole Article: The operation notified under number 14-196 is authorized.</w:t>
        <w:br/>
        <w:t>The Vice-President,</w:t>
        <w:br/>
        <w:t>Claire Favre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