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https://www.autoritedelaconcurrence.fr/fr/decision-de-controle-des-concentrations/relative-la-prise-de-controle-conjoint-de-la-societe-66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14-DCC-192 of December 23, 2014  </w:t>
        <w:br/>
        <w:t xml:space="preserve">regarding the joint control acquisition of the company Deshayes by the  </w:t>
        <w:br/>
        <w:t>company Loupoma alongside ITM Entreprises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November 28, 2014, concerning the joint control acquisition of the company Deshayes by the company  </w:t>
        <w:br/>
        <w:t xml:space="preserve">Loupoma alongside ITM Entreprises, and formalized by a memorandum of understanding dated  </w:t>
        <w:br/>
        <w:t>November 24, 2014;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joint control acquisition of the company Deshayes, which  </w:t>
        <w:br/>
        <w:t xml:space="preserve">operates a distribution business primarily focused on food under the Intermarché brand in the city of  </w:t>
        <w:br/>
        <w:t xml:space="preserve">Châteaudun (28), by the company Loupoma alongside ITM Entreprises. It constitutes a concentration operation  </w:t>
        <w:br/>
        <w:t xml:space="preserve">within the meaning of Article L. 430-1 of the Commercial Code. Given the revenues generated by the  </w:t>
        <w:br/>
        <w:t xml:space="preserve">concerned companies, the operation does not fall under the jurisdiction of the European Union. However, the  </w:t>
        <w:br/>
        <w:t xml:space="preserve">control thresholds related to retail trade mentioned in point II of Article L. 430-2 of the Commercial Code  </w:t>
        <w:br/>
        <w:t xml:space="preserve">are exceeded. This operation is therefore subject to the provisions of Articles L. 430-3 and following of the  </w:t>
        <w:br/>
        <w:t>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14-221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