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https://www.autoritedelaconcurrence.fr/fr/decision-de-controle-des-concentrations/relative-la-prise-de-controle-conjoint-de-la-societe-67</w:t>
      </w:r>
    </w:p>
    <w:p>
      <w:r>
        <w:t>Pages translated : 10</w:t>
      </w:r>
    </w:p>
    <w:p/>
    <w:p>
      <w:r>
        <w:rPr>
          <w:b/>
        </w:rPr>
        <w:t>[Pages 1–3]</w:t>
      </w:r>
    </w:p>
    <w:p>
      <w:r>
        <w:t xml:space="preserve">FRENCH REPUBLIC  </w:t>
        <w:br/>
        <w:t xml:space="preserve">Decision No. 14-DCC-77 of June 11, 2014  </w:t>
        <w:br/>
        <w:t xml:space="preserve">regarding the joint control of Gascogne SA  </w:t>
        <w:br/>
        <w:t xml:space="preserve">by Biolandes Technologies and  </w:t>
        <w:br/>
        <w:t>Les Dérivés Résiniques et Terpéniques</w:t>
      </w:r>
    </w:p>
    <w:p>
      <w:r>
        <w:t xml:space="preserve">The Competition Authority,  </w:t>
        <w:br/>
        <w:t xml:space="preserve">Having regard to the notification file, submitted complete to the concentrations service on May 2, 2014, regarding the joint control of Gascogne SA by Biolandes Technologies and Les Dérivés Résiniques et Terpéniques, formalized by a conciliation protocol and two term sheets dated April 9, 2014;  </w:t>
        <w:br/>
        <w:t xml:space="preserve">Having regard to Book IV of the Commercial Code relating to price freedom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A. THE CONCERNED COMPANIES  </w:t>
        <w:br/>
        <w:t xml:space="preserve">1. Biolandes Technologies, controlled by Mr. Dominique Coutière through the Société Civile Dominique Coutière, is the leading company of the Biolandes family group. The Biolandes group is active in the sectors of manufacturing oils and essences, natural extracts, and dietary supplements, as well as in the wood sector.  </w:t>
        <w:br/>
        <w:t xml:space="preserve">2. Les Dérivés Résiniques et Terpéniques (hereinafter "DRT"), which is under the fluctuating control of its shareholders, is the leading company of the DRT group. This group is active in the sectors of manufacturing resins, terpenes, and natural extracts from pine.  </w:t>
        <w:br/>
        <w:t>3. Gascogne SA, which is under the fluctuating control of its shareholders, is the leading company of the Gascogne group. This group is active in the sectors of wood production, and the manufacturing of paper, bags, and complex packaging and protection products.</w:t>
      </w:r>
    </w:p>
    <w:p>
      <w:r>
        <w:t xml:space="preserve">4. According to the terms of the conciliation protocol and the term sheets dated April 9, 2014, the operation consists of the acquisition of […]% of the capital of Gascogne SA by Attis 2, a company created for the purposes of the operation, and the joint control of Attis 2 by Biolandes and DRT. The latter will hold respectively […]% and […]% of the capital and voting rights of Attis 2. The other shareholders will be BPI ([…]%) and Sofagri ([…]%).  </w:t>
        <w:br/>
        <w:t xml:space="preserve">5. The company Attis 2 will have a supervisory board composed of […] members, of which […] will be appointed by Biolandes and […] by DRT. The quorum for the supervisory board will be […]% of the votes. The president of the company will be appointed by the partners, by a simple majority of the votes. Furthermore, the rights attached to the participation of BPI and Sofagri indicate that they will not be able to block the strategic decisions of the company. On the other hand, Biolandes and DRT have entered into a voting agreement, [Confidential]. It follows that Biolandes and DRT, who hold the majority of the votes within the community of partners and the supervisory board of Attis 2, will exercise joint control over Attis 2.  </w:t>
        <w:br/>
        <w:t xml:space="preserve">6. Following the operation, the Biolandes and DRT groups will therefore jointly exert a determining influence over Gascogne SA. As it leads to the joint control of the Gascogne group by the Biolandes and DRT groups, the operation constitutes a concentration within the meaning of Article L. 430-1 of the Commercial Code.  </w:t>
        <w:br/>
        <w:t>7. The concerned companies together achieve a total worldwide turnover of more than 150 million euros (Biolandes group: […] euros for the fiscal year ending December 31, 2013; DRT group: […] euros for the fiscal year ending December 31, 2013; and Gascogne group: […] euros for the fiscal year ending December 31, 2013). Each of these two companies achieves in France a turnover exceeding 50 million euros (Biolandes group: […] euros for the fiscal year ending December 31, 2013; DRT group: […] euros for the fiscal year ending December 31, 2013; and Gascogne group: […] euros for the fiscal year ending December 31, 2013).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 xml:space="preserve">8. The Biolandes group and the Gascogne group are simultaneously active in the wood sector. Furthermore, Gascogne produces co-products of kraft paper which, like the wood residues sold by Gascogne and Biolandes, are used, notably by DRT and/or Biolandes, for the production of resins, oils, essences, natural extracts, and terpenes.  </w:t>
        <w:br/>
        <w:t xml:space="preserve">A. THE WOOD MARKETS  </w:t>
        <w:br/>
        <w:t xml:space="preserve">9. In previous decisions, the European Commission1 has segmented the wood sector into three product categories: (i) the roundwood market, (ii) the sawnwood market, and (iii) the glued laminated timber market (which has undergone a second industrial transformation consisting of assembling several pieces together). The roundwood market is upstream of the sawnwood market, which is itself upstream of the glued laminated timber market. In this case, Biolandes and Gascogne are only present in the roundwood supply market and the sawnwood market.  </w:t>
        <w:br/>
        <w:t xml:space="preserve">10. Biolandes and Gascogne are also active in the firewood markets, which correspond to the wood residues obtained after cutting or sawing2, and planed wood3.  </w:t>
        <w:br/>
        <w:t xml:space="preserve">1. THE ROUNDWOOD MARKET  </w:t>
        <w:br/>
        <w:t xml:space="preserve">11. The roundwood market corresponds to the wood obtained directly from the cutting of trees. Biolandes and Gascogne do not operate forests in Europe, so they only participate in this market as buyers. The analysis will therefore focus on the effects of the operation on the roundwood supply market.  </w:t>
        <w:br/>
        <w:t xml:space="preserve">12. Community decisional practice4 has contemplated segmenting the roundwood market based on the final use of the wood, distinguishing between sawnwood and pulpwood. However, this segmentation has not been retained in French decisional practice5 as there are several types of wood that can be used for these different uses within the same forest area. In this case, Biolandes is only present in the market segment of roundwood supply intended for producing sawnwood. The activities of Biolandes and Gascogne therefore only overlap in this segment, on which the effects of the operation will be analyzed.  </w:t>
        <w:br/>
        <w:t xml:space="preserve">1 See the European Commission decision No. COMP / M.2473 Finnforest / Moelven Industrier of July 18, 2001, the letter from the Minister of Economy, Finance and Employment No. C2008-113 of October 28, 2008, to the boards of the companies Macif and Axa Forêts, regarding a concentration in the sector of wood sales and the rental of land for hunting purposes, and the letter from the Minister of Economy, Finance and Employment No. C2007-125 of October 1, 2007, to the board of the company PB&amp;M, regarding a concentration in the sector of manufacturing and selling industrial frameworks.  </w:t>
        <w:br/>
        <w:t xml:space="preserve">2 See the European Commission decisions No. COMP / M.2473 mentioned above and No. COMP / M.6101 – UPM / Myllykoski and Rhein Paper of July 13, 2011.  </w:t>
        <w:br/>
        <w:t xml:space="preserve">3 See the letter from the Minister No. C-2007-125 mentioned above.  </w:t>
        <w:br/>
        <w:t xml:space="preserve">4 See the European Commission decision No. COMP / M. 6101 mentioned above.  </w:t>
        <w:br/>
        <w:t>5 See the letter from the Minister No. C2008-113 mentioned above.</w:t>
      </w:r>
    </w:p>
    <w:p>
      <w:r>
        <w:rPr>
          <w:b/>
        </w:rPr>
        <w:t>[Pages 4–6]</w:t>
      </w:r>
    </w:p>
    <w:p>
      <w:r>
        <w:t>13. The decisional practice has considered that the dimension of the roundwood market is at least national6. There is no need to revisit this delimitation within the framework of the present operation.</w:t>
      </w:r>
    </w:p>
    <w:p>
      <w:r>
        <w:t>2. THE SAWNWOOD MARKET</w:t>
      </w:r>
    </w:p>
    <w:p>
      <w:r>
        <w:t>14. Sawnwood is obtained from roundwood after an initial cut in a sawmill. The decisional practice7 has considered the segmentation of this market based on the type of wood used, between: (i) conifers (or softwoods), (ii) exotic wood species, and (iii) temperate hardwoods. In this case, Gascogne and Biolandes are only present in the conifer or softwood sawnwood market.</w:t>
      </w:r>
    </w:p>
    <w:p>
      <w:r>
        <w:t>15. European decisional practice8 considers that the sawnwood markets are at least of European dimension, as some clients source beyond the borders of their country, even beyond the EEA, notably in Russia. French decisional practice9 has not called into question this delimitation but has contemplated conducting an analysis at the national level in the case of operations concerning companies primarily active in French territory.</w:t>
      </w:r>
    </w:p>
    <w:p>
      <w:r>
        <w:t>16. In this case, the question of the exact definition of the sawnwood market can be left open insofar as, regardless of the segmentation chosen, the conclusions of the competitive analysis will remain unchanged.</w:t>
      </w:r>
    </w:p>
    <w:p>
      <w:r>
        <w:t>3. THE MARKET FOR WOOD RESIDUES</w:t>
      </w:r>
    </w:p>
    <w:p>
      <w:r>
        <w:t>17. The firewood market corresponds to sawdust, bark, and wood waste resulting from cutting in the forest10. The parties consider that this market includes not only the sale of wood residues sold by forest managers or wood merchants who have purchased the tree trunk, but also the sale of these same residues (sawdust, bark, and other wood waste) by sawnwood sellers, such as Gascogne or Biolandes. Indeed, according to the parties, whether they come from forest cutting or sawing, the wood residues are the same and serve not only as firewood but also for gardening, decoration, or in the production of oils, essences, or natural extracts.</w:t>
      </w:r>
    </w:p>
    <w:p>
      <w:r>
        <w:t>18. The decisional practice11 considers that the market for wood residues is a market of at least local dimension, at least departmental. The parties consider that this market is of regional dimension.</w:t>
      </w:r>
    </w:p>
    <w:p>
      <w:r>
        <w:t>19. The question of the exact definition of the wood residues market can be left open insofar as, regardless of the delimitation chosen, the conclusions of the competitive analysis will remain unchanged.</w:t>
      </w:r>
    </w:p>
    <w:p>
      <w:r>
        <w:t>6 See the decisions of the European Commission n°COMP / M.2473 and n° COMP / M.6101, as well as the letter from the Minister of Economy n°C2008-113 cited above.</w:t>
      </w:r>
    </w:p>
    <w:p>
      <w:r>
        <w:t>7 See the decisions of the European Commission n°COMP / M. 2473 and n°COMP / M. 5150 – UPM RUS / BRIST / JV of July 28, 2008, as well as the letter from the Minister n°C2007-125 cited above.</w:t>
      </w:r>
    </w:p>
    <w:p>
      <w:r>
        <w:t>8 See the decisions of the European Commission n°COMP / M.2473 and n°COMP / M.5150 cited above.</w:t>
      </w:r>
    </w:p>
    <w:p>
      <w:r>
        <w:t>9 See the letter from the Minister n°2007-125 cited above.</w:t>
      </w:r>
    </w:p>
    <w:p>
      <w:r>
        <w:t>10 See the decision of the European Commission n°COMP / M. 2234 – Metsaliitto/ Osuuskunta / Vapo Oy / JV of February 8, 2001, and the letter from the Minister of Economy n°C2008-113 cited above.</w:t>
      </w:r>
    </w:p>
    <w:p>
      <w:r>
        <w:t>11 See the decision of the European Commission n° COMP / M2234 cited above and the letter from the Minister n°2008-113 cited above.</w:t>
      </w:r>
    </w:p>
    <w:p>
      <w:r>
        <w:t>4. THE PLANED WOOD MARKET</w:t>
      </w:r>
    </w:p>
    <w:p>
      <w:r>
        <w:t>20. Among construction materials, decisional practice12 has distinguished a market for planed wood that results from the processing of sawnwood and includes, among others, the following products: flooring, floorboards, paneling, baseboards, cladding, battens, shutter slats, and edge boards. These products are marketed through various distribution channels, including trade or DIY superstores.</w:t>
      </w:r>
    </w:p>
    <w:p>
      <w:r>
        <w:t>21. Although the different products falling into the category of planed wood are not substitutable from the demand side, decisional practice13 has considered that, given the substitutability from the supply side, it was not necessary to segment the relevant market, on which Biolandes and Gascogne are present.</w:t>
      </w:r>
    </w:p>
    <w:p>
      <w:r>
        <w:t>22. Decisional practice14 has considered that the planed wood market has a European dimension.</w:t>
      </w:r>
    </w:p>
    <w:p>
      <w:r>
        <w:t>23. There is no need to call into question these definitions during the analysis of the present operation.</w:t>
      </w:r>
    </w:p>
    <w:p>
      <w:r>
        <w:t>B. THE MARKETS FOR KRAFT PAPER BY-PRODUCTS</w:t>
      </w:r>
    </w:p>
    <w:p>
      <w:r>
        <w:t>24. In the production of kraft paper, Gascogne produces, as residues of the production process, soaps and paper essences. These by-products are used for the production of essences, resins, and pine terpenes.</w:t>
      </w:r>
    </w:p>
    <w:p>
      <w:r>
        <w:t>25. The parties consider that the kraft paper by-products, being derived from the same production process as paper, should be assimilated to kraft paper and be part of the kraft paper market defined by decisional practice15.</w:t>
      </w:r>
    </w:p>
    <w:p>
      <w:r>
        <w:t>26. Nevertheless, these products have different characteristics from kraft paper, notably in that they are liquid and transported in tank trucks, whereas kraft paper is a solid product made in rolls. Furthermore, kraft paper by-products are intended to be used by industrial players in the chemical sector, who use them as inputs notably for the production of resins, terpenes, or essential oils and natural extracts, while kraft paper is sold to a clientele of paper converters or to industries that use kraft paper to package their products (notably flour, sugar, cement). Therefore, kraft paper and kraft paper by-products are not substitutable, and it is appropriate to distinguish between these two markets. On the other hand, the question of a possible segmentation of the kraft paper by-products market according to the type of products (paper essences, tall oil, and paper soaps) can be left open.</w:t>
      </w:r>
    </w:p>
    <w:p>
      <w:r>
        <w:t>27. Decisional practice16 has considered that the kraft paper markets have a European dimension. The parties consider that the market for kraft paper by-products would be at least of European dimension or even global, as the supply of paper soap is carried out at the European level (mainly in France, Spain, and Portugal) and the supply of paper essence is carried out at the European, or even global, level.</w:t>
      </w:r>
    </w:p>
    <w:p>
      <w:r>
        <w:t>28. In this case, the question of the precise definition of these markets can be left open insofar as, regardless of the segmentation chosen, the conclusions of the competitive analysis will remain unchanged.</w:t>
      </w:r>
    </w:p>
    <w:p>
      <w:r>
        <w:t>C. THE MARKET FOR PINE RESINS</w:t>
      </w:r>
    </w:p>
    <w:p>
      <w:r>
        <w:t>29. Decisional practice17 has considered that there is a market for pine resins and has contemplated segmenting this market based on different end uses, notably distinguishing between resins intended for producing printing ink, adhesives, road marking signage, and chewing gum.</w:t>
      </w:r>
    </w:p>
    <w:p>
      <w:r>
        <w:t>30. Decisional practice considers that the market for pine resins has at least a European dimension, if not a global one, due to the increasing competition from Asian pine resin suppliers.</w:t>
      </w:r>
    </w:p>
    <w:p>
      <w:r>
        <w:t>31. In this case, the question of the exact definition of the pine resins market can be left open insofar as, regardless of the segmentation chosen, the conclusions of the competitive analysis will remain unchanged. Only DRT is present in the pine resins market, which will be examined under the vertical effects.</w:t>
      </w:r>
    </w:p>
    <w:p>
      <w:r>
        <w:t>D. THE MARKET FOR OILS, ESSENCES, AND PINE EXTRACTS</w:t>
      </w:r>
    </w:p>
    <w:p>
      <w:r>
        <w:t>32. Biolandes and DRT are active in the sector of manufacturing oils and essences and natural extracts from pine, which are primarily used in perfumery, cosmetics, and dietary supplements.</w:t>
      </w:r>
    </w:p>
    <w:p>
      <w:r>
        <w:t>33. According to decisional practice18, there are distinct markets for essences, fragrances, and chemical flavors. In terms of fruits, the European Commission19 has nevertheless recognized the existence of markets for orange oils and essences and for apple oils and essences, notably.</w:t>
      </w:r>
    </w:p>
    <w:p>
      <w:r>
        <w:t>34. The parties consider that a market for oils, essences, and pine extracts, derived from pine, can be distinguished insofar as these oils, essences, and natural extracts differ from products derived from other plants, flowers, or fruits due to their specific olfactory properties. Furthermore, the parties consider that a segmentation of the oils and essences market can be contemplated between (i) essential oils, (ii) turpentine essences, and (iii) natural extracts, due to the fact that these three types of products are made from different parts of the pine, within the framework of distinct manufacturing processes, and for different clients. Essential pine oils obtained from distilled pine needles are indeed used in perfumery, turpentine essences are used as solvents or as a base for chemical synthesis, and natural extracts from pine bark.</w:t>
      </w:r>
    </w:p>
    <w:p>
      <w:r>
        <w:rPr>
          <w:b/>
        </w:rPr>
        <w:t>[Pages 7–9]</w:t>
      </w:r>
    </w:p>
    <w:p>
      <w:r>
        <w:t>are used for the manufacture of cosmetic products and dietary supplements. The activities of Biolandes and DRT only overlap in the market for the production of natural extracts based on pine bark, and Biolandes is also present in the market for essential oils from pine needles.</w:t>
      </w:r>
    </w:p>
    <w:p>
      <w:r>
        <w:t>35. The parties consider that the markets for oils, essences, and extracts of pine are at least of European dimension, if not global, as customers and the main competitors of the parties are established worldwide and there are no specific constraints that would restrict the trade of these products at a global level.</w:t>
      </w:r>
    </w:p>
    <w:p>
      <w:r>
        <w:t>36. In this case, the question of the precise definition of the market for oils, essences, and extracts of pine can be left open insofar as, regardless of the delimitation chosen, the conclusions of the competitive analysis will remain unchanged.</w:t>
      </w:r>
    </w:p>
    <w:p>
      <w:r>
        <w:t>E. THE MARKET FOR PINE TERPENES</w:t>
      </w:r>
    </w:p>
    <w:p>
      <w:r>
        <w:t>37. Pine terpenes are natural organic compounds obtained from chemical reactions involving terpenic molecules. They are derived from the fractionation of pulpwood. Basic pine terpenes are used for the production of terpenic resins, industrial cleaners, and ingredients for perfumery. They are sold in drums, in tank trucks, or in bulk.</w:t>
      </w:r>
    </w:p>
    <w:p>
      <w:r>
        <w:t>38. The notifying parties20 consider that there is a market for pine terpenes distinct from other plants, flowers, or fruits due to their composition and olfactory characteristics. They also consider that pine terpenes are not substitutable for essential pine oils due to different chemical and olfactory properties, which particularly make it impossible to use the terpenes themselves in perfumery.</w:t>
      </w:r>
    </w:p>
    <w:p>
      <w:r>
        <w:t>39. The parties consider that the market for pine terpenes is at least of European dimension, if not global, because customers and competitors in this market are established worldwide.</w:t>
      </w:r>
    </w:p>
    <w:p>
      <w:r>
        <w:t>40. In this case, the question of the exact definition of the market for pine terpenes can be left open insofar as, regardless of the delimitation chosen, the conclusions of the competitive analysis will remain unchanged. Only DRT is present in the market for pine terpenes.</w:t>
      </w:r>
    </w:p>
    <w:p>
      <w:r>
        <w:t>20 The notifying party considers in particular that, similar to the market for orange terpenes, defined by decisional practice (see the European Commission decision n° COMP / M. 5907 mentioned above), it is conceivable to define a market for pine terpenes.</w:t>
      </w:r>
    </w:p>
    <w:p>
      <w:r>
        <w:t>III. Competitive Analysis</w:t>
      </w:r>
    </w:p>
    <w:p>
      <w:r>
        <w:t>41. The competitive analysis will focus on the horizontal effects of the operation in the wood sector, in which Biolandes and Gascogne are simultaneously present, and on the vertical effects of the operation (i) between the different wood markets, (ii) between the markets for wood residues and the markets for pine resins, oils, essences, and extracts, and pine terpenes, and (iii) between the market for kraft paper by-products and the markets for pine resins, oils, essences, and extracts, and pine terpenes.</w:t>
      </w:r>
    </w:p>
    <w:p>
      <w:r>
        <w:t>42. Finally, it will be necessary to examine the risk of coordination between the parent companies in the market for oils, essences, and extracts of pine where Biolandes and DRT are simultaneously present.</w:t>
      </w:r>
    </w:p>
    <w:p>
      <w:r>
        <w:t>A. HORIZONTAL EFFECTS</w:t>
      </w:r>
    </w:p>
    <w:p>
      <w:r>
        <w:t>43. In the markets for roundwood, sawnwood, planed wood, and wood residues after cutting or sawing, where Biolandes and Gascogne are simultaneously present, the combined market shares of the parties will not exceed [10-20]% regardless of the segmentation or geographical delimitation of the market.</w:t>
      </w:r>
    </w:p>
    <w:p>
      <w:r>
        <w:t>44. The operation is therefore not likely to harm competition through horizontal effects in these different markets.</w:t>
      </w:r>
    </w:p>
    <w:p>
      <w:r>
        <w:t>B. VERTICAL EFFECTS</w:t>
      </w:r>
    </w:p>
    <w:p>
      <w:r>
        <w:t>45. A vertical concentration can restrict competition by making access to the markets where the new entity will be active more difficult, or potentially by excluding competitors or penalizing them through increased costs. This locking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However, the Competition Authority considers that it is unlikely that a company with a market share below 30% in a given market can lock a downstream or upstream market.</w:t>
      </w:r>
    </w:p>
    <w:p>
      <w:r>
        <w:t>46. In this case, the Biolandes and Gascogne groups operate at different levels of the wood value chain. The operation will therefore strengthen their vertical integration. Furthermore, Biolandes and/or DRT are present in the markets (i) for pine resins, (ii) for oils, essences, and natural extracts of pine, and (iii) for pine terpenes, which are located downstream of the market for wood residues after cutting or sawing, where Biolandes and Gascogne are active. Additionally, Gascogne is present in the market for kraft paper by-products, which is upstream of the markets (i) for pine resins, (ii) for oils, essences, and natural extracts of pine, and (iii) for pine terpenes in which Biolandes and/or DRT operate.</w:t>
      </w:r>
    </w:p>
    <w:p>
      <w:r>
        <w:t>47. It is therefore necessary to analyze the vertical effects induced by the operation in these markets.</w:t>
      </w:r>
    </w:p>
    <w:p>
      <w:r>
        <w:t>Vertical effects between the different wood markets</w:t>
      </w:r>
    </w:p>
    <w:p>
      <w:r>
        <w:t>48. The parties represent less than [20-30]% of the various markets in the wood sector. Gascogne and Biolandes will therefore not be able to lock access to customers for their competitors. They will also not have the ability to prevent their competitors from accessing inputs.</w:t>
      </w:r>
    </w:p>
    <w:p>
      <w:r>
        <w:t>Vertical effects between the upstream market for kraft paper by-products and the downstream markets for pine resins, oils and essences of pine, and pine terpenes</w:t>
      </w:r>
    </w:p>
    <w:p>
      <w:r>
        <w:t>49. In the markets for kraft paper by-products (particularly soaps and pulpwood essences), the combined market share of the parties is below [0-5]%, regardless of the delimitation chosen. Furthermore, their market share does not exceed [5-10]% in the markets for pine resins, [0-5]% in the markets for oils, essences, and natural extracts of pine, and [10-20]% in the markets for pine terpenes, regardless of the segmentations, except for the segment of pine resins intended for the production of chewing gum.</w:t>
      </w:r>
    </w:p>
    <w:p>
      <w:r>
        <w:t>50. Indeed, DRT represents [40-50]% of the segment of pine resins intended for the production of chewing gum. Nevertheless, in this segment, DRT faces competition from operators such as Eastman ([30-40]% market share), Euro Yser ([10-20]%), Resinas Syntheticas ([5-10]%), and Pinova ([0-5]%). [Confidential].</w:t>
      </w:r>
    </w:p>
    <w:p>
      <w:r>
        <w:t>51. Consequently, the operation is not likely to allow Biolandes and DRT to lock access to the customer base of Gascogne's competitors in the market for kraft paper by-products. It is also not likely to allow Gascogne to prevent the competitors of Biolandes and DRT in the market for oils, essences, and natural extracts of pine, and the competitors of DRT in the market for pine resins and pine terpenes, from accessing the inputs constituted by kraft paper by-products.</w:t>
      </w:r>
    </w:p>
    <w:p>
      <w:r>
        <w:t>Vertical effects between the upstream market for wood residues after cutting and sawing, and the downstream markets for pine resins, oils and essences of pine, and pine terpenes</w:t>
      </w:r>
    </w:p>
    <w:p>
      <w:r>
        <w:t>52. The market share of the parties will not exceed [5-10]% in the markets for wood residues after cutting and sawing regardless of the geographical delimitation chosen. The operation is therefore not likely to allow Biolandes and DRT to lock access to the customer base of Gascogne's competitors in the market for wood residues after cutting or sawing. It is also not likely to allow Gascogne to prevent the competitors of Biolandes and DRT in the market for oils and essences, and the competitors of DRT in the market for pine resins and pine terpenes, from accessing the inputs constituted by wood residues after cutting or sawing.</w:t>
      </w:r>
    </w:p>
    <w:p>
      <w:r>
        <w:t>C. RISK OF COORDINATION OF PARENT COMPANIES</w:t>
      </w:r>
    </w:p>
    <w:p>
      <w:r>
        <w:t>53. It is necessary to examine whether the joint control of Gascogne by Biolandes and DRT is likely to encourage them to coordinate their behavior in the market where Biolandes and DRT are simultaneously present. According to decisional practice21, such a risk is likely when the following three cumulative conditions are met: (i) 21 See the opinion of the Competition Council n°07-A-09 of August 2, 2007, the decisions of the Minister of Economy n°C2007-27 of August 28, 2007, and C2006-45 of August 10, 2006, the decision of the Competition Authority n°10-DCC-119 of September 17, 2010.</w:t>
      </w:r>
    </w:p>
    <w:p>
      <w:r>
        <w:rPr>
          <w:b/>
        </w:rPr>
        <w:t>[Pages 10–10]</w:t>
      </w:r>
    </w:p>
    <w:p>
      <w:r>
        <w:t>the risk of coordination must have a direct causal link with the creation of the joint venture, (ii) the coordination must be sufficiently likely, and (iii) the coordination must have a significant effect on competition.</w:t>
      </w:r>
    </w:p>
    <w:p>
      <w:r>
        <w:t>54. In this case, Biolandes and DRT are simultaneously active in the markets for oils, essences, and natural pine extracts. However, their respective market shares remain below [0-5]% and the activities of Biolandes and DRT only overlap in the production of natural pine bark extracts. It is therefore unlikely that the joint control of Gascogne by Biolandes and DRT will encourage them to coordinate their behavior in the market for oils, essences, and natural pine extracts.</w:t>
      </w:r>
    </w:p>
    <w:p>
      <w:r>
        <w:t>55. It follows from all of the above that the operation is not likely to harm competition in the relevant markets.</w:t>
      </w:r>
    </w:p>
    <w:p>
      <w:r>
        <w:t>DECIDES</w:t>
      </w:r>
    </w:p>
    <w:p>
      <w:r>
        <w:t>Sole Article: The operation notified under number 14-058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