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https://www.autoritedelaconcurrence.fr/fr/decision-de-controle-des-concentrations/relative-la-prise-de-controle-conjoint-de-la-societe-68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14-DCC-88 of June 23, 2014  </w:t>
        <w:br/>
        <w:t xml:space="preserve">regarding the joint control acquisition of the company Nicosia  </w:t>
        <w:br/>
        <w:t xml:space="preserve">by the company Datho alongside ITM Entreprises  </w:t>
        <w:br/>
        <w:t xml:space="preserve">The Competition Authority,  </w:t>
        <w:br/>
        <w:t xml:space="preserve">Having regard to the complete notification file sent to the mergers department on May 26, 2014,  </w:t>
        <w:br/>
        <w:t xml:space="preserve">concerning the joint control acquisition of the company Nicosia by the company Datho alongside  </w:t>
        <w:br/>
        <w:t xml:space="preserve">ITM Entreprises and formalized by a letter of intent dated May 15, 2014;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Nicosia, operating  </w:t>
        <w:br/>
        <w:t xml:space="preserve">a predominantly food distribution business under the Intermarché brand  </w:t>
        <w:br/>
        <w:t xml:space="preserve">in the city of Homécourt (54), by the company Datho alongside ITM Entreprises. It  </w:t>
        <w:br/>
        <w:t xml:space="preserve">constitutes a concentration operation within the meaning of Article L. 430-1 of the Commercial Code.  </w:t>
        <w:br/>
        <w:t xml:space="preserve">Given the turnover achieved by the companies concerned, the operation does not  </w:t>
        <w:br/>
        <w:t xml:space="preserve">fall under the jurisdiction of the European Union. On the other hand, the control thresholds  </w:t>
        <w:br/>
        <w:t xml:space="preserve">related to retail trade mentioned in point II of Article L. 430-2 of the Commercial Code are exceeded.  </w:t>
        <w:br/>
        <w:t xml:space="preserve">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14-088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