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https://www.autoritedelaconcurrence.fr/fr/decision-de-controle-des-concentrations/relative-la-prise-de-controle-conjoint-de-la-societe-69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15-DCC-06 of January 23, 2015  </w:t>
        <w:br/>
        <w:t xml:space="preserve">regarding the joint control acquisition of the company Silbrine by the  </w:t>
        <w:br/>
        <w:t xml:space="preserve">companies Viloma and Pamat alongside ITM Entreprises  </w:t>
        <w:br/>
        <w:t xml:space="preserve">The Competition Authority,  </w:t>
        <w:br/>
        <w:t xml:space="preserve">Having regard to the notification file sent to the mergers department on November 24, 2014, and  </w:t>
        <w:br/>
        <w:t xml:space="preserve">declared complete on December 22, 2014, concerning the joint control acquisition of the company  </w:t>
        <w:br/>
        <w:t xml:space="preserve">Silbrine by the companies Viloma and Pamat alongside ITM Entreprises, and formalized by a  </w:t>
        <w:br/>
        <w:t xml:space="preserve">transfer protocol dated December 16,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joint control acquisition of the company Silbrine, operating  </w:t>
        <w:br/>
        <w:t xml:space="preserve">a business of supermarket type predominantly selling food under the Intermarché brand in the city of  </w:t>
        <w:br/>
        <w:t xml:space="preserve">Brive la Gaillarde (19), by the companies Viloma and Pamat alongside ITM Entreprises. It constitutes  </w:t>
        <w:br/>
        <w:t xml:space="preserve">a concentration operation within the meaning of Article L. 430-1 of the Commercial Code. Given the  </w:t>
        <w:br/>
        <w:t xml:space="preserve">turnover achieved by the companies involved, the operation does not fall under the jurisdiction of the  </w:t>
        <w:br/>
        <w:t xml:space="preserve">European Union. On the other hand, the control thresholds related to retail trade mentioned in point II  </w:t>
        <w:br/>
        <w:t xml:space="preserve">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14-211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