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https://www.autoritedelaconcurrence.fr/fr/decision-de-controle-des-concentrations/relative-la-prise-de-controle-conjoint-de-la-societe-70</w:t>
      </w:r>
    </w:p>
    <w:p>
      <w:r>
        <w:t>Pages translated : 16</w:t>
      </w:r>
    </w:p>
    <w:p/>
    <w:p>
      <w:r>
        <w:rPr>
          <w:b/>
        </w:rPr>
        <w:t>[Pages 1–3]</w:t>
      </w:r>
    </w:p>
    <w:p>
      <w:r>
        <w:t xml:space="preserve">FRENCH REPUBLIC  </w:t>
        <w:br/>
        <w:t xml:space="preserve">Decision No. 15-DCC-105 of 12 August 2015  </w:t>
        <w:br/>
        <w:t>regarding the joint control of Primonial Holding by Crédit Mutuel Arkéa, Primonial Management, Blackfin, and Latour Capital</w:t>
      </w:r>
    </w:p>
    <w:p>
      <w:r>
        <w:t xml:space="preserve">The Competition Authority,  </w:t>
        <w:br/>
        <w:t xml:space="preserve">Having regard to the notification file, submitted in full to the merger service on 8 July 2015, regarding the joint control of Primonial Holding by Crédit Mutuel Arkéa, Primonial Management, Blackfin, and Latour Capital, formalized in particular by an investment protocol dated 15 April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Crédit Mutuel Arkéa (hereinafter, "CMA") is a cooperative company at the head of the mutual banking group which includes the federations of Crédit Mutuel de Bretagne ("CMB"), Crédit Mutuel du Sud Ouest ("CMSO"), and Crédit Mutuel du Massif Central ("CMMC"), as well as about twenty subsidiaries. The group's activities cover all sectors of banking, finance, insurance, and real estate.  </w:t>
        <w:br/>
        <w:t>1 CMA, like the other regional federations of the Crédit Mutuel group, has legal and strategic autonomy from the national bodies of Crédit Mutuel, as it autonomously determines the policy and strategy of the entities attached to it, including in particular the commercial policy, budget, and business plan. See European Commission decisions COMP/M.5605, Crédit Mutuel / Monobank, 8 September 2009 and COMP/M.5432, Crédit Mutuel / Cofidis, 24 February 2009; decisions of the Competition Authority No. 09-DCC-86 of 22 December 2009 regarding the exclusive control of Monext Holding by the Crédit Mutuel Arkéa group, No. 10-DCC-172 of 29 November 2010 regarding the exclusive control of Crédit Foncier et Communal d’Alsace et de Lorraine Banque by Crédit Mutuel Arkéa, and No. 14-DCC-84 of 20 June 2014 regarding the joint control of the Primonial group by Crédit Mutuel Arkéa and Primonial Management.</w:t>
      </w:r>
    </w:p>
    <w:p>
      <w:r>
        <w:t xml:space="preserve">2. Primonial Holding is the company at the head of the Primonial group. Its main activities include the selection, design, management, and consulting of investment solutions. It is present in the sectors of banking service distribution, insurance, and real estate services. Primonial Holding is jointly controlled by CMA and Primonial Management (hereinafter "PM"), the latter ultimately controlled by Mr. André Camo.  </w:t>
        <w:br/>
        <w:t xml:space="preserve">3. Latour Capital I (hereinafter, "Latour Capital") is a mutual fund. Latour Capital Management, the management company of Latour Capital, is equally owned by Constance Capital, Philippe Leoni Consulting, and Amecofin Conseil, with no shareholder exercising a decisive influence over the company. Latour Capital controls several companies, including Proxiserve, active in the market for installation and maintenance services for real estate assets in the fields of water, heating, air, and renewable energies.  </w:t>
        <w:br/>
        <w:t xml:space="preserve">4. BlackFin Financial Services Fund (hereinafter, "BlackFin") is a mutual fund. BlackFin Capital Partners, the management company of BlackFin, is equally owned by four individuals, with no shareholder exercising a decisive influence over the company. BlackFin controls several companies, including Owliance-Mutua and NeoXam, active in the market for IT services in finance, as well as Moneo, which focuses on electronic wallet systems. BlackFin also jointly controls Cyrus Conseil, active in the insurance, real estate, and financial investment consulting sectors, and Kleper Cheuvreux, which engages in financial brokerage activities.  </w:t>
        <w:br/>
        <w:t xml:space="preserve">5. The operation will allow the entry of investment funds Latour Capital and BlackFin into the capital of Primonial Holding through a company under their joint control, Primonial Financial Partners (hereinafter, "PFP"), created for the needs of the operation.  </w:t>
        <w:br/>
        <w:t xml:space="preserve">6. The proposed shareholders' agreement provides that following the operation, the governance of Primonial Holding will be based on a supervisory committee composed of five members, two members appointed by PM, two members appointed by CMA, and one member appointed by PFP. The supervisory committee will decide unanimously on strategic decisions (appointment and dismissal of the President, approval of the annual budget, etc.). In light of these elements, CMA, PM, Latour Capital, and BlackFin will each be able to exercise a decisive influence on the strategic decisions of Primonial Holding following the operation.  </w:t>
        <w:br/>
        <w:t xml:space="preserve">7. As it results in the joint control of Primonial Holding by CMA, PM, Latour Capital, and BlackFin, the operation constitutes a concentration within the meaning of Article L. 430-1 of the Commercial Code.  </w:t>
        <w:br/>
        <w:t>8. The concerned companies together achieve a total worldwide turnover of more than 150 million euros (CMA group: [...] euros for the fiscal year ending 31 December 2014; Primonial group: [...] euros for the same fiscal year; BlackFin: [...] euros for the same fiscal year; Latour Capital: [...] euros for the same fiscal year). Two of these companies achieve in France a turnover for the same fiscal year exceeding 50 million euros (CMA group: [...] euros for the fiscal year ending 31 December 2014; Primonial group: [...] euros for the same fiscal year; BlackFin: [...] euros for the same fiscal year; Latour Capital: [...] euros for the same fiscal year). Given these turnovers, the thresholds provided by Article 1, paragraph 2, a) and b) of Council Regulation (EC) No 139/2004 of 20 January 2004 are met. However, since each of the concerned companies achieves more than two-thirds of its turnover in France, the operation is not of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THE INSURANCE SECTOR  </w:t>
        <w:br/>
        <w:t xml:space="preserve">9. CMA is present in the upstream markets of the "production" of personal insurance products and in the downstream markets for the distribution of insurance products on behalf of third parties, while Primonial and BlackFin are only present downstream. These markets will therefore be subject to an analysis of vertical effects.  </w:t>
        <w:br/>
        <w:t xml:space="preserve">1. THE UPSTREAM MARKETS FOR INSURANCE PRODUCTS  </w:t>
        <w:br/>
        <w:t xml:space="preserve">10. Within the insurance sector, decisional practice distinguishes, consistently, between personal insurance and property and liability insurance, each of which can in turn be segmented into as many markets as there are insurances covering different types of risks or types of contracts, insofar as, from the demand perspective, these insurances or contracts differ and are not substitutable. Regarding the market for personal insurance, an additional segmentation can be made between group insurance contracts, concluded between an insurer and a subscriber distinct from the beneficiary, and individual insurance contracts for which the subscriber is also the beneficiary. Similarly, regarding the market for property and liability insurance, an additional segmentation can be made between insurances aimed at individuals and insurances aimed at professionals.  </w:t>
        <w:br/>
        <w:t>11. Except for certain insurances covering large-scale risks, decisional practice considers that insurance markets are of national dimension given consumer preferences, the existence of legislation, and constraints.</w:t>
      </w:r>
    </w:p>
    <w:p>
      <w:r>
        <w:rPr>
          <w:b/>
        </w:rPr>
        <w:t>[Pages 4–6]</w:t>
      </w:r>
    </w:p>
    <w:p>
      <w:r>
        <w:t>national tax regulations, the current structure of these markets, or the regulatory systems7 concerning this sector of activities.</w:t>
      </w:r>
    </w:p>
    <w:p>
      <w:r>
        <w:t>12. In the present case, only CMA is active in these markets. CMA operates in the markets for the production of personal insurance and more specifically in the segments of individual and collective provident insurance, individual and collective retirement savings, and savings8 in the form of collective or individual life insurance contracts. CMA is also active in the markets for the production of property insurance aimed at individuals (home, automobile, legal protection, civil liability, school insurance, recreational boating, hunting). The operation does not result in any overlap of activity in these markets.</w:t>
      </w:r>
    </w:p>
    <w:p>
      <w:r>
        <w:t>2. THE DOWNSTREAM MARKETS FOR THE DISTRIBUTION OF INSURANCE PRODUCTS ON BEHALF OF THIRD PARTIES</w:t>
      </w:r>
    </w:p>
    <w:p>
      <w:r>
        <w:t>13. The distribution of insurance products involves marketing and ensuring the administrative management of guarantees or insurance contracts whose risk is borne by third-party insurers9. The decisional practice has left the question of the precise delimitation of markets in this sector open, with several segmentations being considered10.</w:t>
      </w:r>
    </w:p>
    <w:p>
      <w:r>
        <w:t>14. A market limited to insurance brokerage has been contemplated in certain decisions of the European Commission11. A broader market for the distribution of insurance products by independent intermediaries, encompassing all distribution channels (agents, brokers, and other intermediaries including banks), except for direct distribution by insurance companies, has been identified by the decisional practice12.</w:t>
      </w:r>
    </w:p>
    <w:p>
      <w:r>
        <w:t>15. The markets for the distribution of insurance products can also be segmented based on the category of insured risks (property insurance and personal insurance) and according to the clientele (businesses or individuals). A distinction between the distribution of life insurance products and the distribution of other insurance products has also been considered13.</w:t>
      </w:r>
    </w:p>
    <w:p>
      <w:r>
        <w:t>16. Regarding their geographical delimitations, the markets for the distribution of insurance products on behalf of third parties have been primarily considered to be of national dimension.</w:t>
      </w:r>
    </w:p>
    <w:p>
      <w:r>
        <w:t>7 See in particular the aforementioned decision n°10-DCC-52.</w:t>
      </w:r>
    </w:p>
    <w:p>
      <w:r>
        <w:t>8 See in particular the letter from the Minister of Economy, Finance and Employment dated August 21, 2007, to the boards of the AG2R Prévoyance provident institute and La Mondiale, concerning a concentration in the health and retirement insurance sector.</w:t>
      </w:r>
    </w:p>
    <w:p>
      <w:r>
        <w:t>9 See in particular the letter from the Minister of Economy C2008-77 dated October 28, 2008, to the boards of the Mutuelle Harmonie Mutualité and the decision of the Competition Authority n° 10-DCC-138 dated October 19, 2010, concerning the exclusive control of MFPrévoyance by CNP assurances.</w:t>
      </w:r>
    </w:p>
    <w:p>
      <w:r>
        <w:t>10 See in particular the aforementioned letter from the Minister C2008-77, the aforementioned decision of the Authority n°10-DCC-138, and the decision of the Competition Authority n°13-DCC-126 dated September 5, 2013, concerning the acquisition of Sofaxis by the mutual insurance company Sham.</w:t>
      </w:r>
    </w:p>
    <w:p>
      <w:r>
        <w:t>11 Decision of the European Commission n° COMP/M. 1280, KKR/Willis Corroon dated August 24, 1998. Decision of the European Commission n° COMP/M. 1307 Marsh &amp; McLennan / Sedgwick dated October 23, 1998.</w:t>
      </w:r>
    </w:p>
    <w:p>
      <w:r>
        <w:t>12 See for example the decisions of the Authority n° 11-DCC-117, 12-DCC-111, and 12-DCC-111; the decisions of the European Commission COMP/M.6053 – CVC/ Apollo/Brit Insurance dated January 19, 2011, and COMP/M.4284 - Axa/Winterthur dated August 28, 2006.</w:t>
      </w:r>
    </w:p>
    <w:p>
      <w:r>
        <w:t>13 Decision of the European Commission COMP/M.6957 – IF P&amp;C/TOPDANMARK dated September 23, 2013.</w:t>
      </w:r>
    </w:p>
    <w:p>
      <w:r>
        <w:t>17. The question of the exact delimitation of the markets for the distribution of insurance products may be left open as it has no impact on the competitive analysis.</w:t>
      </w:r>
    </w:p>
    <w:p>
      <w:r>
        <w:t>18. In the present case, CMA, Primonial, and BlackFin (via Cyrus Conseil) are simultaneously present in the market for the distribution on behalf of third parties of insurance products, and more specifically in the markets for the distribution of personal insurance.</w:t>
      </w:r>
    </w:p>
    <w:p>
      <w:r>
        <w:t>B. THE BANKING SECTOR</w:t>
      </w:r>
    </w:p>
    <w:p>
      <w:r>
        <w:t>1. SERVICE MARKETS</w:t>
      </w:r>
    </w:p>
    <w:p>
      <w:r>
        <w:t>19. The decisional practice14 traditionally distinguishes three categories of services:</w:t>
        <w:br/>
        <w:t>- banking services aimed at individuals and households (retail banking);</w:t>
        <w:br/>
        <w:t>- banking services aimed at businesses (commercial banking);</w:t>
        <w:br/>
        <w:t>- operations on financial markets (corporate and investment banking).</w:t>
      </w:r>
    </w:p>
    <w:p>
      <w:r>
        <w:t>20. Furthermore, the decisional practice15 has considered distinguishing a market for intermediation in banking operations, distinct from the markets for the provision of banking services.</w:t>
      </w:r>
    </w:p>
    <w:p>
      <w:r>
        <w:t>21. In the present case, CMA, BlackFin (via Cyrus Conseil), and Primonial are simultaneously active in the sectors of retail banking and corporate and investment banking. Additionally, Primonial is present in the market for intermediation in banking operations, particularly in the segment of the distribution of real estate financing products, which is downstream of the market for the provision of mortgage credit, which falls under retail banking, where CMA is present.</w:t>
      </w:r>
    </w:p>
    <w:p>
      <w:r>
        <w:t>a) The markets for retail banking</w:t>
      </w:r>
    </w:p>
    <w:p>
      <w:r>
        <w:t>22. It follows from the decisional practice that retail banking encompasses banking services aimed at individuals and households. Furthermore, entrepreneurs have been considered as clients of retail banking, as their needs are closer to those of individuals than to those of commercial companies.</w:t>
      </w:r>
    </w:p>
    <w:p>
      <w:r>
        <w:t>23. For this entire clientele, the following markets have been analyzed: the market for demand deposits, the market for banking savings (notably savings bonds and non-immediately redeemable accounts such as term accounts), the market for off-balance sheet savings (Variable Capital Investment Company, Mutual Fund, and pension funds), the market for mortgage credit, the market for consumer credit, the market for debt restructuring credit, the market for the issuance of payment cards (issuance for the benefit of clients), the private banking market, and the securities custody market ("retail custody"). In the present case, there is no need to challenge this delimitation.</w:t>
      </w:r>
    </w:p>
    <w:p>
      <w:r>
        <w:t>24. CMA, BlackFin, and Primonial are simultaneously present in the off-balance sheet savings market. Additionally, CMA is present in the mortgage credit market, which will be subject to examination under vertical effects as it is upstream of the market for intermediation in banking operations, where Primonial is present.</w:t>
      </w:r>
    </w:p>
    <w:p>
      <w:r>
        <w:t>b) The markets for corporate and investment banking</w:t>
      </w:r>
    </w:p>
    <w:p>
      <w:r>
        <w:t>25. Corporate and investment banking encompasses operations on financial markets. The decisional practice16 has had the opportunity to distinguish the markets (i) for asset management on behalf of businesses and institutional clients, (ii) for mergers and acquisitions advisory, (iii) for placement and underwriting activities related to the issuance of corporate securities, (iv) for activities and transactions on financial markets, and (v) for activities in money markets.</w:t>
      </w:r>
    </w:p>
    <w:p>
      <w:r>
        <w:t>26. The decisional practice17 has considered retaining a segmentation within the market for asset management on behalf of businesses and institutional clients between the activities of:</w:t>
        <w:br/>
        <w:t>(i) portfolio management (excluding real estate assets and UCITS), which consists of optimizing the financial return of a portfolio of securities (stocks and/or bonds) held by a client;</w:t>
        <w:br/>
        <w:t>(ii) management of mutual funds of the UCITS type (which are divided into SICAV and FCP), which is an activity that consists of managing this type of collective investment fund on behalf of businesses and institutional clients;</w:t>
        <w:br/>
        <w:t>(iii) private equity, which involves an investor entering the capital of unlisted companies that need an equity injection. Several forms of intervention can be distinguished: venture capital to finance the startup of new businesses, development capital to finance the growth of the business, transmission capital (or LBO) intended to support the transfer or sale of the business, turnaround capital to assist in the recovery of a distressed business.</w:t>
      </w:r>
    </w:p>
    <w:p>
      <w:r>
        <w:t>27. CMA and Primonial are simultaneously present in the market for the management of mutual funds on behalf of institutional clients. Latour Capital and BlackFin are simultaneously active in the private equity segment. CMA and BlackFin (via Kepler Chevreux) are simultaneously active in the segment of activities and transactions on financial markets.</w:t>
      </w:r>
    </w:p>
    <w:p>
      <w:r>
        <w:t>16 See in particular the aforementioned letter from the Minister n°C2006-45, the aforementioned decision of the Competition Authority n°09-DCC-16, and the decisions of the European Commission dated December 3, 2008, in case COMP/M.5384 BNP Paribas/Fortis; October 3, 2007, in case COMP/M.4844 Fortis/ABN AMRO Assets; August 6, 2007, in case COMP/M.4692 Barclays/ABN AMRO; March 28, 2006, in case COMP/M.4155, BNP Paribas/BNL; October 18, 2005, in case COMP/M.3894 Unicredito/HVB; June 2, 2005, in case COMP/M.3740 Barclays Bank/FöreningsSparbanken; February 6, 1998, in case IV/M.1096 Société Générale/Hambros Bank.</w:t>
      </w:r>
    </w:p>
    <w:p>
      <w:r>
        <w:t>17 See in particular the aforementioned letter from the Minister n°C2006-45 and the aforementioned decision of the Competition Authority n°09-DCC-16.</w:t>
      </w:r>
    </w:p>
    <w:p>
      <w:r>
        <w:rPr>
          <w:b/>
        </w:rPr>
        <w:t>[Pages 7–9]</w:t>
      </w:r>
    </w:p>
    <w:p>
      <w:r>
        <w:t>c) The market for financial investment advice</w:t>
        <w:br/>
        <w:t>28. While leaving the question open, the decisional practice18 has identified a market for financial investment advice, a regulated activity19. CMA, Primonial, and Blackfin (via Cyrus Conseil) are active in this market, although the notifying parties consider that it cannot be distinguished from the markets for corporate and investment banking.</w:t>
      </w:r>
    </w:p>
    <w:p>
      <w:r>
        <w:t>29. There is no need to definitively resolve the delimitation of these markets in this case as this question has no impact on the competitive analysis.</w:t>
      </w:r>
    </w:p>
    <w:p>
      <w:r>
        <w:t>d) The market for banking intermediation</w:t>
        <w:br/>
        <w:t>30. The decisional practice20 has considered that the activity of intermediaries in banking operations, such as brokers in real estate financing products, could be distinguished from the activity of banks themselves. It has therefore contemplated the existence of a market for banking intermediation, distinct from the market for the provision of banking services.</w:t>
      </w:r>
    </w:p>
    <w:p>
      <w:r>
        <w:t>31. The decisional practice21 has considered segmenting this market based on the type of banking services distributed and the type of clients. It has notably contemplated the existence of a market for the distribution of real estate financing products (mortgage credit products and consumer credit products used either for financing security deposits for properties distributed by a rental management network or for financing works in co-ownerships) aimed at a clientele of individuals.</w:t>
      </w:r>
    </w:p>
    <w:p>
      <w:r>
        <w:t>32. In this case, the question of the exact delimitation of the markets for banking intermediation can be left open as it has no impact on the competitive analysis.</w:t>
      </w:r>
    </w:p>
    <w:p>
      <w:r>
        <w:t>33. Primonial is only active in the market for the distribution of mortgage credits aimed at individuals, which will be subject to analysis under the vertical effects of the operation, as CMA is present in the upstream market for the provision of mortgage credits.</w:t>
      </w:r>
    </w:p>
    <w:p>
      <w:r>
        <w:t>2. GEOGRAPHICAL MARKETS</w:t>
        <w:br/>
        <w:t>a) The markets for retail banking</w:t>
        <w:br/>
        <w:t>34. The decisional practice generally considers that the markets for retail banking are at most of national dimension, despite some European harmonization22.</w:t>
      </w:r>
    </w:p>
    <w:p>
      <w:r>
        <w:t>35. The decisional practice23 has also considered that regarding banking services for individuals, the proximity of agencies is an important factor as it primarily concerns relational activities. It has also emphasized that the competitive conditions in metropolitan territory are not homogeneous, particularly given the significant role held by mutual and cooperative networks in the French banking system, differences in the establishment of banking groups, the adaptation of commercial strategies to the local competitive context, and the existence of regional banking brands. The competitive analysis has thus been conducted both at the national and local levels, with the practice having retained, for the latter level, circles with a radius corresponding to a journey of about twenty minutes by car around a municipality.</w:t>
      </w:r>
    </w:p>
    <w:p>
      <w:r>
        <w:t>36. There is no need to challenge this delimitation in the context of the present operation.</w:t>
      </w:r>
    </w:p>
    <w:p>
      <w:r>
        <w:t>b) The markets for corporate and investment banking</w:t>
        <w:br/>
        <w:t>37. Regarding the markets for corporate and investment banking, the decisional practice24 generally considers that these markets have at least a European dimension. Concerning a potential segment of financial investment advice, the notifying parties consider that it has at least a national dimension. In this case, they have provided their market shares at the national level on the grounds that they are only active in France.</w:t>
      </w:r>
    </w:p>
    <w:p>
      <w:r>
        <w:t>38. In any case, the geographical delimitation of these markets can be left open in this case as this question has no impact on the competitive analysis.</w:t>
      </w:r>
    </w:p>
    <w:p>
      <w:r>
        <w:t>c) The markets for banking intermediation</w:t>
        <w:br/>
        <w:t>39. The decisional practice has considered that the market for banking intermediation and that for the distribution of real estate financing are of national dimension.</w:t>
      </w:r>
    </w:p>
    <w:p>
      <w:r>
        <w:t>40. There is no need to challenge this delimitation in the context of the present operation.</w:t>
      </w:r>
    </w:p>
    <w:p>
      <w:r>
        <w:t>C. THE REAL ESTATE SERVICES SECTOR</w:t>
        <w:br/>
        <w:t>a) The markets for services</w:t>
        <w:br/>
        <w:t>41. The decisional practice25 has contemplated, while leaving the question open, different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w:t>
      </w:r>
    </w:p>
    <w:p>
      <w:r>
        <w:t>42. Regarding segmentation according to the nature of the services or goods offered, the decisional practice26 has considered distinguishing:</w:t>
      </w:r>
    </w:p>
    <w:p>
      <w:r>
        <w:t>- real estate development, which includes construction and sale activities of real estate properties;</w:t>
        <w:br/>
        <w:t>- asset management of real estate for own account;</w:t>
        <w:br/>
        <w:t>- asset management of real estate for third-party account;</w:t>
        <w:br/>
        <w:t>- property management, which covers the management activities of buildings on behalf of owners and can be segmented between rental management and co-ownership management;</w:t>
        <w:br/>
        <w:t>- real estate appraisal;</w:t>
        <w:br/>
        <w:t>- real estate consulting;</w:t>
        <w:br/>
        <w:t>- intermediation in real estate transactions for which intermediation in purchase/sale operations is distinguished from intermediation in rental operations.</w:t>
      </w:r>
    </w:p>
    <w:p>
      <w:r>
        <w:t>43. In this case, CMA, Primonial, and BlackFin (via Cyrus Conseil) are simultaneously active in the markets for asset management of real estate for third-party account and intermediation in purchase/sale operations. CMA and Primonial are both active in the market for property management.</w:t>
      </w:r>
    </w:p>
    <w:p>
      <w:r>
        <w:t>44. There is no need to challenge these segmentations in the context of the present operation.</w:t>
      </w:r>
    </w:p>
    <w:p>
      <w:r>
        <w:t>b) The geographical markets</w:t>
        <w:br/>
        <w:t>45. The decisional practice considers that most real estate services markets are of infranational dimension, while leaving the question open. Except for Île-de-France, the competition authorities have conducted their competitive analyses at the regional or infrarégional level. They have thus examined the effects of an operation at the level of cities, urban areas, departments, or regions27.</w:t>
      </w:r>
    </w:p>
    <w:p>
      <w:r>
        <w:t>46. The market for asset management of real estate for third-party account has been considered by the decisional practice28 as being of national dimension. The parties consider that this market is of national dimension as the activity of asset management of real estate for third-party account is conducted through vehicles such as SCPI29 or OPCI30, which each group several properties often located in different regions.</w:t>
      </w:r>
    </w:p>
    <w:p>
      <w:r>
        <w:rPr>
          <w:b/>
        </w:rPr>
        <w:t>[Pages 10–12]</w:t>
      </w:r>
    </w:p>
    <w:p>
      <w:r>
        <w:t>47. In any case, the question of the exact delimitation of the geographical markets in the real estate sector may be left open as it has no impact on the competitive analysis.</w:t>
      </w:r>
    </w:p>
    <w:p>
      <w:r>
        <w:t>48. In this instance, the analysis will be conducted both at the national level for the markets of asset management for third parties, intermediation in purchase/sale operations, and at the level of each concerned city, namely the urban areas of Rennes and Bordeaux, for the market of intermediation in real estate transactions.</w:t>
      </w:r>
    </w:p>
    <w:p>
      <w:r>
        <w:t>D. THE MARKET FOR COMPARATIVE PRODUCT AND PRICE WEBSITES</w:t>
      </w:r>
    </w:p>
    <w:p>
      <w:r>
        <w:t>49. The consultative practice of the Competition Authority has identified a market for product and price comparison websites. It has considered31 distinguishing within it between generalist price comparison sites (Shopzilla, Leguide.com, Google Shopping, Ciao.fr, Twenga, Cherchons.com, Shopping.com, Touslesprix.com, Nextag.fr, Kelkoo) and specialized price comparison sites (tourism, insurance, etc.).</w:t>
      </w:r>
    </w:p>
    <w:p>
      <w:r>
        <w:t>50. In this case, BlackFin, through its subsidiary Comparadise group, operates a product comparison website (insurance and credit) at comparadise.com.</w:t>
      </w:r>
    </w:p>
    <w:p>
      <w:r>
        <w:t>51. These markets will be subject to an analysis regarding conglomerate effects.</w:t>
      </w:r>
    </w:p>
    <w:p>
      <w:r>
        <w:t>52. There is no need to conclude on the delimitation of these markets in this case as this question has no impact on the competitive analysis.</w:t>
      </w:r>
    </w:p>
    <w:p>
      <w:r>
        <w:t>E. THE MARKETS FOR ELECTRICAL ENGINEERING, MECHANICAL ENGINEERING, AND CLIMATE ENGINEERING</w:t>
      </w:r>
    </w:p>
    <w:p>
      <w:r>
        <w:t>a) Service Markets</w:t>
      </w:r>
    </w:p>
    <w:p>
      <w:r>
        <w:t>53. The decisional practice32 has retained several criteria for delimiting relevant markets based on the nature of the service (electrical engineering, mechanical engineering, or climate engineering), the type of work (installation or maintenance), and the type of clientele (residential or non-residential). Within the non-residential segment, a distinction has been considered between industry, tertiary, and infrastructure.</w:t>
      </w:r>
    </w:p>
    <w:p>
      <w:r>
        <w:t>54. In this case, Latour Capital, through its subsidiary Proxiserve, provides installation and maintenance services in mechanical engineering (plumbing), climate engineering (heating, energy), and electrical engineering, targeting both residential and non-residential real estate assets.</w:t>
      </w:r>
    </w:p>
    <w:p>
      <w:r>
        <w:t>31 Competition Authority, opinion No. 12-A-20 of 18 September 2012 regarding the competitive functioning of e-commerce, points 152 and following.</w:t>
      </w:r>
    </w:p>
    <w:p>
      <w:r>
        <w:t>32 See in particular the decisions of Minister C2008-117, C2007-115, C2008-3 as well as the decisions of the European Commission No. IV/M.874 – Amec Financière Spie Batignolles / Spie Batignolles of 6 February 1997; of 31 August 2012, Vinci / EVT Business, COMP / M.6623 and of 26 March 2010, Vinci / Cegelec, No. COMP / M.5701; the decisions of the Authority No. 09-DCC-30 of 29 July 2009 regarding the acquisition of the companies E.T.C.M. and GER2I Ensemblier by EIFFEL Participations (EIFFAGE group); No. 13-DCC-29 of 5 March 2013 regarding the exclusive control of Gobé SAS by Scopele, No. 15-DCC-09 of 12 February 2015 regarding the exclusive control of JF Cesbron SAS by Dalkia SA and No. 15-DCC-86 of 8 July 2015 regarding the exclusive control of CRAM by Dalkia SA.</w:t>
      </w:r>
    </w:p>
    <w:p>
      <w:r>
        <w:t>55. These markets will be subject to an analysis regarding conglomerate effects.</w:t>
      </w:r>
    </w:p>
    <w:p>
      <w:r>
        <w:t>b) Geographical Markets</w:t>
      </w:r>
    </w:p>
    <w:p>
      <w:r>
        <w:t>56. The decisional practice has not determined the exact geographical delimitation of the markets for mechanical, climate, and electrical engineering works but generally examines the effects of controlled operations at the national or regional level. It has indeed noted that the main players in these markets are established at the national level, but that a significant number of players are of regional size33.</w:t>
      </w:r>
    </w:p>
    <w:p>
      <w:r>
        <w:t>57. In this case, the precise delimitation of the market may also be left open, as it has no impact on the competitive analysis.</w:t>
      </w:r>
    </w:p>
    <w:p>
      <w:r>
        <w:t>F. INFORMATION TECHNOLOGY SERVICES</w:t>
      </w:r>
    </w:p>
    <w:p>
      <w:r>
        <w:t>a) Service Markets</w:t>
      </w:r>
    </w:p>
    <w:p>
      <w:r>
        <w:t>58. The decisional practice34 has examined the delimitation of relevant markets in the information technology services sector while leaving the question open. It has thus considered that seven functional categories of services could be distinguished within the market for information technology services: (i) overall management services, (ii) enterprise management services, (iii) software development and integration, (iv) consulting, (v) software maintenance and logistical support, (vi) maintenance of IT hardware and logistical support, and (vii) teaching and training. However, it has not been excluded that these seven categories of services could be considered as belonging to a global market for information technology services insofar as clients generally seek a service integrating all the activities described above and there is a high degree of substitutability on the supply side.</w:t>
      </w:r>
    </w:p>
    <w:p>
      <w:r>
        <w:t>59. Different alternative or complementary segmentations have also been considered according to:</w:t>
        <w:br/>
        <w:t>- the type of clientele: SMEs or large accounts;</w:t>
        <w:br/>
        <w:t>- the types of information and communication systems: (i) management application systems, which include IT services used to fulfill a horizontal function within companies or administrations, (ii) embedded industrial scientific technical application systems, (iii) generic application systems, (iv) IT infrastructure systems, and (v) communication infrastructure and enterprise network systems;</w:t>
        <w:br/>
        <w:t>- the sector of activity, namely: (i) communications, (ii) education, (iii) energy and local networks, (iv) financial services, (v) the public sector,</w:t>
      </w:r>
    </w:p>
    <w:p>
      <w:r>
        <w:t>33 See the aforementioned decisions.</w:t>
      </w:r>
    </w:p>
    <w:p>
      <w:r>
        <w:t>34 See the decisions of the Competition Authority No. 13-DCC-100 of 7 August 2013 regarding the exclusive control of Osiatis by Econocom Group, No. 14-DCC-56 of 14 April 2014 regarding the exclusive control of Groupe Euriware by Capgemini France and No. 14-DCC-160 of 30 October 2014 regarding the exclusive control of SFR by the Altice group; Decision No. 15-DCC-19 of 27 February 2015 regarding the exclusive control of the Abylsen group by Naxicap Partners. See also the decisions of the European Commission No. M.2365 of 4 April 2001, Schlumberger / Sema; No. 2609 of 31 January 2002, HP / Compaq, No. 3555 of 9 September 2004, Hewlett-Packard / Synstar; No. 3571 of 18 November 2004, IBM / Maerskdate / DMData; No. M.3995 of 1 December 2005, Belgacom / Telindus, No. M.5197 of 25 July 2008, HP / EDS and No. M.5301 Cap Gemini / BAS of 13 October 2008;</w:t>
      </w:r>
    </w:p>
    <w:p>
      <w:r>
        <w:t>60. In this case, BlackFin, through its subsidiary NeoXam, is active in the market for software development and integration in the segment of management application systems providing overall management services targeting large accounts in the "asset management" sector. Through its subsidiary Owliance, BlackFin is also active in the market for overall management services in the segment of management application systems targeting large accounts and brokers in the insurance sector.</w:t>
      </w:r>
    </w:p>
    <w:p>
      <w:r>
        <w:t>61. These markets will be subject to an analysis regarding conglomerate effects.</w:t>
      </w:r>
    </w:p>
    <w:p>
      <w:r>
        <w:t>b) Geographical Markets</w:t>
      </w:r>
    </w:p>
    <w:p>
      <w:r>
        <w:t>62. While the practice has generally retained markets of national dimension, it has also considered that they could be of subnational dimension35 depending on the type of clientele and the missions concerned.</w:t>
      </w:r>
    </w:p>
    <w:p>
      <w:r>
        <w:t>63. In this case, the operation will be analyzed at the national level.</w:t>
      </w:r>
    </w:p>
    <w:p>
      <w:r>
        <w:t>III. Competitive Analysis</w:t>
      </w:r>
    </w:p>
    <w:p>
      <w:r>
        <w:t>A. ANALYSIS OF HORIZONTAL EFFECTS</w:t>
      </w:r>
    </w:p>
    <w:p>
      <w:r>
        <w:t>1. THE MARKETS IN THE INSURANCE SECTOR</w:t>
      </w:r>
    </w:p>
    <w:p>
      <w:r>
        <w:t>64. CMA and Primonial are both present in the French market for the distribution of personal insurance on behalf of third parties. The parties have not managed to assess their market shares across the different segments by risk category. However, their respective market share is below [0-5]% in a market for the distribution of provident products, supplementary retirement, and supplementary health insurance, so that the increment in market share attributable to the operation is in any case relatively low regardless of the segmentation retained. Furthermore, the parties will face competition from significant players such as Axa, AGR, Cardif, Cholet Dupont, Generali, Lifeside Patrimoine, Selection 1818, Skandia, or Swisslife.</w:t>
      </w:r>
    </w:p>
    <w:p>
      <w:r>
        <w:t>65. The operation is therefore not likely to harm competition in the market for the distribution of insurance on behalf of third parties through horizontal effects.</w:t>
      </w:r>
    </w:p>
    <w:p>
      <w:r>
        <w:t>35 Decision of the Competition Authority No. 14-DCC-08 of 22 January 2014 regarding the exclusive control by the Ortec group of Financière Sonovision and No. 14-DCC-160 of 30 October 2014 regarding the exclusive control of SFR by the Altice group and No. 15-DCC-19 of 27 February 2015 regarding the exclusive control of the Abylsen group by Naxicap Partners.</w:t>
      </w:r>
    </w:p>
    <w:p>
      <w:r>
        <w:rPr>
          <w:b/>
        </w:rPr>
        <w:t>[Pages 13–15]</w:t>
      </w:r>
    </w:p>
    <w:p>
      <w:r>
        <w:t xml:space="preserve">2. THE MARKETS OF THE BANKING SECTOR  </w:t>
        <w:br/>
        <w:t xml:space="preserve">a) The markets for retail banking  </w:t>
        <w:br/>
        <w:t xml:space="preserve">66. In terms of retail banking, CMA and Primonial are only simultaneously present in the French off-balance sheet savings market. In this market, CMA's share is less than [0-5]% and Primonial's share is less than [0-5]%.  </w:t>
        <w:br/>
        <w:t xml:space="preserve">67. At the local level, the parties were unable to provide an accurate assessment of their market shares in areas within a 20-minute radius of each municipality where Primonial is located. However, according to the notifying parties, Primonial's market share is less than [0-5]% in each of the departments where CMA is present, so the market share increment attributable to the operation is in any case relatively low. Furthermore, the parties will face competition from significant players such as BNP, LCL, Banque Postale, and Société Générale.  </w:t>
        <w:br/>
        <w:t xml:space="preserve">68. In light of these elements, the operation is not likely to harm competition in the retail banking markets through horizontal effects.  </w:t>
        <w:br/>
        <w:t xml:space="preserve">b) The markets for corporate and investment banking  </w:t>
        <w:br/>
        <w:t xml:space="preserve">69. In terms of corporate and investment banking, the CMA and Primonial groups are both only present in the European market for financial asset management, and in each of the following three market segments defined by decisional practice: (i) portfolio management, (ii) mutual fund management, (iii) private equity.  </w:t>
        <w:br/>
        <w:t xml:space="preserve">70. The notifying parties have not been able to assess their position in the European market. In the French markets where CMA and Primonial's activities overlap, their combined market share is less than [0-5]%. Furthermore, the parties will continue to face numerous competitors active in these markets.  </w:t>
        <w:br/>
        <w:t xml:space="preserve">71. In light of these elements, the operation is not likely to harm competition in the corporate and investment banking markets through horizontal effects.  </w:t>
        <w:br/>
        <w:t xml:space="preserve">c) The market for financial investment advice  </w:t>
        <w:br/>
        <w:t xml:space="preserve">72. In a potential market for financial investment advice distinct from the corporate and investment banking markets, the observations communicated during the investigation highlight the effects that the operation would entail due to the overlap of activities between Cyrus Conseil, which is under the joint control of BlackFin, and Primonial, particularly regarding the potential incentive for BlackFin to coordinate the activities of its two joint subsidiaries. However, Primonial represents a small market share in the financial investment advice market, between [0-5]%, while CMA and BlackFin each hold a market share of less than [0-5]%. The evidence in the file indeed shows that the market is highly fragmented and includes more than 4,900 operators registered with the Organisme pour le Registre des Intermédiaires en Assurance ("ORIAS"). The parties will therefore face numerous competitors, including major network banks as well as private banks, employee or agent networks of insurers, and dedicated organizations.  </w:t>
        <w:br/>
        <w:t xml:space="preserve">73. In light of these elements, the operation is not likely to harm competition in a potential market for financial investment advice.  </w:t>
        <w:br/>
        <w:t xml:space="preserve">3. THE MARKETS FOR REAL ESTATE SERVICES  </w:t>
        <w:br/>
        <w:t xml:space="preserve">74. In the markets (i) for asset management of real estate on behalf of third parties, (ii) for intermediation in real estate transactions, and (iii) for property management, where CMA, Primonial, and BlackFin are simultaneously present, the combined market shares of the parties will be below 25%, regardless of the segmentation or geographical delimitation of the market, with the operation resulting in a market share increment of less than [0-5]%. Furthermore, the parties will continue to face numerous active competitors in these markets.  </w:t>
        <w:br/>
        <w:t xml:space="preserve">75. The operation is therefore not likely to harm competition through horizontal effects in these various markets.  </w:t>
        <w:br/>
        <w:t xml:space="preserve">B. ANALYSIS OF VERTICAL EFFECTS  </w:t>
        <w:br/>
        <w:t xml:space="preserve">76.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Competition Authority considers that it is unlikely that a company with a market share of less than 30% in a given market can lock in a downstream or upstream market.  </w:t>
        <w:br/>
        <w:t xml:space="preserve">77. In this case, in the insurance sector, CMA is present in the markets for the production of personal insurance, which are upstream of the markets for the distribution of personal insurance on behalf of third parties where Primonial is present. Additionally, in the banking sector, CMA is active in the mortgage credit market for individuals, which is upstream of the banking operation intermediation market where Primonial is present. It is therefore necessary to analyze the vertical effects induced by the operation in these markets.  </w:t>
        <w:br/>
        <w:t xml:space="preserve">78. First, regarding the vertical links between personal insurance and the distribution of this insurance on behalf of third parties, CMA represents less than [0-5]% of the production of personal insurance, regardless of the segmentation chosen. In these markets, CMA faces competition from significant operators such as Generali, Cardiff, or Axa. Furthermore, downstream, in the markets for the distribution of personal insurance on behalf of third parties, Primonial's market share is less than [0-5]%.  </w:t>
        <w:br/>
        <w:t xml:space="preserve">79. Second, regarding the vertical links between mortgage credit and banking operation intermediation, CMA holds a market share of [0-5]% nationally in the upstream market for mortgage credit for individuals and a market share of less than [0-5]% in the market for mortgage credit for businesses. In the downstream market for banking operation intermediation, Primonial holds a market share of less than [0-5]% nationally.  </w:t>
        <w:br/>
        <w:t xml:space="preserve">80. In light of these elements, the operation is not likely to harm competition through vertical effects in the markets for insurance, mortgage credit, and banking operation intermediation.  </w:t>
        <w:br/>
        <w:t xml:space="preserve">C. ANALYSIS OF CONGLOMERATE EFFECTS  </w:t>
        <w:br/>
        <w:t xml:space="preserve">81. A conglomerate concentration can restrict competition when it allows the company resulting from the operation, benefiting from a strong position in one market, to lock access to one or more related markets by exploiting a leverage effect. However, the decisional practice of competition authorities generally dismisses these lock-in risks when the market share of the company resulting from the operation in the relevant markets does not exceed 30%.  </w:t>
        <w:br/>
        <w:t xml:space="preserve">82. The parties are simultaneously active in several related markets. Three risks of conglomerate effects must therefore be examined.  </w:t>
        <w:br/>
        <w:t xml:space="preserve">83. First, BlackFin, through its subsidiary Comparadise Groupe, operates a comparison website for services and prices (comparadise.com) in the insurance and credit sectors aimed at individuals and SMEs where CMA and BlackFin are present. According to the notifying parties, Comparadise generates [confidential]% of its revenue with CMA. They estimate that the position of the comparadise.com site is significantly below [5-10]% of the overall market for product comparison sites, [10-20]% in a potential segment of insurance comparison sites, and [0-5]% in a potential segment of credit comparison sites. The site faces competition from numerous specialized comparators in insurance (Assurland) or credit (Meilleurtaux, Empruntis, Creditland, Panorabanques). In the insurance and banking sectors, the market shares of the parties are below [0-5]%.  </w:t>
        <w:br/>
        <w:t xml:space="preserve">84. Second, BlackFin, through its subsidiaries Owliance and NeoXam, is active in certain IT service markets related to banking and insurance, sectors in which CMA and Primonial are active with respective market shares below [0-5]%. However, BlackFin's market share remains below 25% regardless of the segmentation chosen. The parties also face numerous competitors (Multifonds, Simcorp, Lendata, BSB, Calypso, Summit, Sophis, Orchestrade, Jump, Murec, Misys, Assurone, Assu200, AIS, GFP, Génération, GMC-Henner, iGestion).  </w:t>
        <w:br/>
        <w:t xml:space="preserve">85. Third, Latour Capital, through its subsidiary Proxiserve, provides installation and maintenance services in mechanical engineering (plumbing), climate control (heating, energy), and electrical services, aimed at residential and non-residential real estate assets. CMA, Primonial, and BlackFin are active in the real estate services markets (asset management, property administration) with combined market shares below 25%. These markets have connections with those in which Proxiserve is active. However, regardless of the segmentation chosen, Proxiserve's market share remains below [20-30]%, and it also faces numerous competitors (notably Ista and Itron).  </w:t>
        <w:br/>
        <w:t xml:space="preserve">86. Consequently, this operation is not likely to harm competition through conglomerate effects.  </w:t>
        <w:br/>
        <w:t>36 Guidelines of the Competition Authority regarding the control of concentrations, July 10, 2013, §476.</w:t>
      </w:r>
    </w:p>
    <w:p>
      <w:r>
        <w:rPr>
          <w:b/>
        </w:rPr>
        <w:t>[Pages 16–16]</w:t>
      </w:r>
    </w:p>
    <w:p>
      <w:r>
        <w:t xml:space="preserve">D. ANALYSIS OF COORDINATION RISKS BETWEEN PARENT COMPANIES  </w:t>
        <w:br/>
        <w:t xml:space="preserve">87. When several independent companies acquire joint control of a company, the links established between them may encourage them to coordinate their behavior, not only within the joint venture but more broadly across all markets where the parents and subsidiaries are present, by enhancing the exchange of information between them or facilitating the understanding of common objectives.  </w:t>
        <w:br/>
        <w:t xml:space="preserve">88. In accordance with decisional practice, the risks of coordination between parent companies are analyzed based on three cumulative criteria: the existence of a causal link between the creation of the joint venture and the emergence of the coordination risk, the degree of likelihood of coordination which must present an economic interest for the parent companies, and the significant effect on competition of the coordination. In principle, decisional practice considers that the risks of harm to competition can be ruled out due to the weak position of the parent companies.  </w:t>
        <w:br/>
        <w:t xml:space="preserve">89. In the present case, CMA, Latour Capital, and BlackFin, regardless of the sectors involved in the operation, are simultaneously active in the private equity market where each holds a market share of less than [0-5]%. Furthermore, CMA and BlackFin are simultaneously active in the market for activities and transactions in financial markets where they hold respective market shares of less than [0-5]% and approximately [0-10%].  </w:t>
        <w:br/>
        <w:t xml:space="preserve">90. The notifying parties also argue that the operation constitutes only an isolated joint project in a non-significant part of the activities of the parent companies, which would make coordination of these companies unlikely as they do not jointly control any other company besides Primonial Holding. In any case, the weak position of the parties in these markets, where they will continue to face significant competitors, makes the risk of coordination unlikely.  </w:t>
        <w:br/>
        <w:t xml:space="preserve">91. Consequently, the risk of harm to competition through coordination of the behavior of the parent companies can be ruled out.  </w:t>
        <w:br/>
        <w:t xml:space="preserve">DECIDES  </w:t>
        <w:br/>
        <w:t xml:space="preserve">Sole Article: The operation notified under number 15-096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