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https://www.autoritedelaconcurrence.fr/fr/decision-de-controle-des-concentrations/relative-la-prise-de-controle-conjoint-de-la-societe-72</w:t>
      </w:r>
    </w:p>
    <w:p>
      <w:r>
        <w:t>Pages translated : 2</w:t>
      </w:r>
    </w:p>
    <w:p/>
    <w:p>
      <w:r>
        <w:rPr>
          <w:b/>
        </w:rPr>
        <w:t>[Pages 1–2]</w:t>
      </w:r>
    </w:p>
    <w:p>
      <w:r>
        <w:t xml:space="preserve">FRENCH REPUBLIC  </w:t>
        <w:br/>
        <w:t xml:space="preserve">Decision No. 15-DCC-147 of November 2, 2015  </w:t>
        <w:br/>
        <w:t xml:space="preserve">regarding the joint control acquisition of the company Clinique Chirurgicale de Périgueux by the company Atalante alongside the Bordas and Delbes families  </w:t>
        <w:br/>
        <w:t xml:space="preserve">The Competition Authority,  </w:t>
        <w:br/>
        <w:t xml:space="preserve">Having regard to the complete notification file submitted to the mergers department on October 2, 2015, concerning the joint control acquisition by the company Atalante alongside the Bordas and Delbes families of the company Clinique Chirurgicale de Périgueux, formalized by an investment protocol dated September 23,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Clinique Chirurgicale de Périgueux, the parent company of the Francheville group, primarily active in the markets for the provision of diagnostics and hospital care in the Dordogne department (24), by the company Atalante, active in the management of portfolios of financial instruments on behalf of third parties, alongside the Bordas and Delbes families. It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15-171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