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https://www.autoritedelaconcurrence.fr/fr/decision-de-controle-des-concentrations/relative-la-prise-de-controle-conjoint-de-la-societe-75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15-DCC-20 of February 27, 2015  </w:t>
        <w:br/>
        <w:t xml:space="preserve">regarding the joint control acquisition of the company Hurecom  </w:t>
        <w:br/>
        <w:t xml:space="preserve">by the company Kalila alongside ITM Entreprises  </w:t>
        <w:br/>
        <w:t xml:space="preserve">The Competition Authority,  </w:t>
        <w:br/>
        <w:t xml:space="preserve">Having regard to the complete notification file submitted to the mergers department on January 30, 2015,  </w:t>
        <w:br/>
        <w:t xml:space="preserve">concerning the joint control acquisition of the company Hurecom by the company Kalila  </w:t>
        <w:br/>
        <w:t xml:space="preserve">alongside ITM Entreprises, and formalized by a share transfer agreement dated  </w:t>
        <w:br/>
        <w:t xml:space="preserve">January 28, 2015;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Adopts the following decision:  </w:t>
        <w:br/>
        <w:t xml:space="preserve">1. The notified operation consists of the joint control acquisition of the company Hurecom, operating  </w:t>
        <w:br/>
        <w:t xml:space="preserve">a retail sales outlet primarily focused on food under the Intermarché brand  </w:t>
        <w:br/>
        <w:t xml:space="preserve">in Huriel (03), by ITM Entreprises and the company Kalila, which itself operates a retail sales outlet  </w:t>
        <w:br/>
        <w:t xml:space="preserve">primarily focused on food under the Intermarché brand in Montluçon  </w:t>
        <w:br/>
        <w:t xml:space="preserve">(03). This operation constitutes a concentration within the meaning of Article L. 430-1 of the Commercial Code.  </w:t>
        <w:br/>
        <w:t xml:space="preserve">Given the turnover generated by the companies involved,  </w:t>
        <w:br/>
        <w:t xml:space="preserve">the operation does not fall under the jurisdiction of the European Union. However, the thresholds for  </w:t>
        <w:br/>
        <w:t xml:space="preserve">control related to retail trade mentioned in point II of Article L. 430-2 of the Commercial Code are exceeded.  </w:t>
        <w:br/>
        <w:t xml:space="preserve">This operation is therefore subject to the provisions of  </w:t>
        <w:br/>
        <w:t xml:space="preserve">Articles L. 430-3 and following of the 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15-015 is authorized.  </w:t>
        <w:br/>
        <w:t xml:space="preserve">The President,  </w:t>
        <w:br/>
        <w:t xml:space="preserve">Bruno Lasserre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