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https://www.autoritedelaconcurrence.fr/fr/decision-de-controle-des-concentrations/relative-la-prise-de-controle-conjoint-de-la-societe-76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15-DCC-35 of March 20, 2015  </w:t>
        <w:br/>
        <w:t xml:space="preserve">regarding the joint control acquisition of the company Jorogis by the  </w:t>
        <w:br/>
        <w:t xml:space="preserve">company Lomobail alongside ITM Entreprises  </w:t>
        <w:br/>
        <w:t xml:space="preserve">The Competition Authority,  </w:t>
        <w:br/>
        <w:t xml:space="preserve">Having regard to the complete notification file submitted to the mergers department on February 26, 2015,  </w:t>
        <w:br/>
        <w:t xml:space="preserve">concerning the joint control acquisition of the company Jorodis by the company Lomobail alongside  </w:t>
        <w:br/>
        <w:t xml:space="preserve">ITM Entreprises, and formalized by two memoranda of understanding dated February 11, 2015, and  </w:t>
        <w:br/>
        <w:t xml:space="preserve">February 25,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Jorodis, operating  </w:t>
        <w:br/>
        <w:t xml:space="preserve">a retail outlet primarily selling food under the Intermarché brand in the city of  </w:t>
        <w:br/>
        <w:t xml:space="preserve">Guénange (57), by ITM Entreprises and the company Lomobail, which itself operates a retail  </w:t>
        <w:br/>
        <w:t xml:space="preserve">outlet primarily selling food under the Intermarché brand in Basse-Ham (57). This operation constitutes a concentration operation within the meaning of Article  </w:t>
        <w:br/>
        <w:t xml:space="preserve">L. 430-1 of the Commercial Code. Given the turnover generated by the companies  </w:t>
        <w:br/>
        <w:t xml:space="preserve">involved, the operation does not fall under the jurisdiction of the European Union. On the other hand,  </w:t>
        <w:br/>
        <w:t xml:space="preserve">the retail control thresholds mentioned in point II of 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notified operation under number 15-028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