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https://www.autoritedelaconcurrence.fr/fr/decision-de-controle-des-concentrations/relative-la-prise-de-controle-conjoint-de-la-societe-78</w:t>
      </w:r>
    </w:p>
    <w:p>
      <w:r>
        <w:t>Pages translated : 2</w:t>
      </w:r>
    </w:p>
    <w:p/>
    <w:p>
      <w:r>
        <w:rPr>
          <w:b/>
        </w:rPr>
        <w:t>[Pages 1–2]</w:t>
      </w:r>
    </w:p>
    <w:p>
      <w:r>
        <w:t xml:space="preserve">FRENCH REPUBLIC  </w:t>
        <w:br/>
        <w:t xml:space="preserve">Decision No. 16-DCC-07 of January 25, 2016  </w:t>
        <w:br/>
        <w:t xml:space="preserve">regarding the joint control acquisition of the company Financière Grand Comptoir by Gimv France SAS alongside the company Cap Achegour  </w:t>
        <w:br/>
        <w:t xml:space="preserve">The Competition Authority,  </w:t>
        <w:br/>
        <w:t xml:space="preserve">Having regard to the complete notification file submitted to the mergers department on December 23, 2015, concerning the joint control acquisition of the company Financière du Grand Comptoir by Gimv France SAS alongside the company Cap Achegour, formalized by a memorandum of understanding dated December 22, 2015;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joint control acquisition by the management company Gimv France SAS, a 100% subsidiary of the investment fund Gimv NV, alongside the company Cap Achegour, of the company Financière Grand Comptoir, active in the sector of distribution of building finishing materials (professional hardware products). This operation constitutes a concentration within the meaning of Article L. 430-1 of the Commercial Code. Given the turnover achieved by the companies concerned, the operation does not fall under the jurisdiction of the European Union. On the other hand, the control thresholds mentioned in point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15-242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