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https://www.autoritedelaconcurrence.fr/fr/decision-de-controle-des-concentrations/relative-la-prise-de-controle-conjoint-de-la-societe-79</w:t>
      </w:r>
    </w:p>
    <w:p>
      <w:r>
        <w:t>Pages translated : 11</w:t>
      </w:r>
    </w:p>
    <w:p/>
    <w:p>
      <w:r>
        <w:rPr>
          <w:b/>
        </w:rPr>
        <w:t>[Pages 1–3]</w:t>
      </w:r>
    </w:p>
    <w:p>
      <w:r>
        <w:t>FRENCH REPUBLIC</w:t>
        <w:br/>
        <w:t>Decision No. 16-DCC-136 of August 19, 2016</w:t>
        <w:br/>
        <w:t>regarding the joint control of Groupama Banque by Orange alongside Groupe Groupama</w:t>
        <w:br/>
        <w:t>The Competition Authority,</w:t>
        <w:br/>
        <w:t>Having regard to the notification file submitted in full to the merger service on July 13, 2016, regarding the joint control of Groupama Banque by Orange alongside Groupe Groupama, formalized by a memorandum of understanding dated April 21, 2016;</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Groupe Groupama is a mutual insurance group providing general insurance (property and liability insurance and personal insurance). Groupe Groupama also develops a financial and banking activity that remains marginal within the group (2% of its total revenue in 2015). It is primarily present in France, Italy, and Eastern Europe. Groupe Groupama and La Banque Postale also created in 2009 La Banque Postale Assurance IARD, which develops certain insurance products.</w:t>
        <w:br/>
        <w:t>2. The Groupama group consists of 3,200 local funds, 13 regional and specialized funds, as well as three national bodies: the Fédération nationale Groupama, Groupama Holding, and Groupama S.A. The Fédération nationale Groupama brings together the regional funds. It represents the members and is tasked with defining the general orientations of the group. Groupama SA1, wholly owned by the regional funds, drives and coordinates the operational strategy of the group in accordance with the recommendations of the Fédération nationale Groupama.</w:t>
        <w:br/>
        <w:t>3. Groupama Banque is a public limited company under the exclusive control of Groupe Groupama via the companies Groupama SA (84%) and Groupama GAN Vie (16%). Groupama Banque offers a range of banking products and services to individuals, professionals, farmers, and agricultural cooperatives. It also develops a private banking activity. It is the parent company of the asset management subsidiaries of Groupe Groupama (Groupama Asset Management, Groupama Immobilier, Groupama Epargne Salariale).</w:t>
        <w:br/>
        <w:t>4. Orange SA is the parent company of the Orange group (formerly France Telecom), an electronic communications operator catering to individual, professional, and large corporate clients in France and worldwide. Orange is 72% owned by institutional and individual shareholders, 23% by the State and BPI France, and 5% by employees. Orange is only marginally present in the banking sector through its wholly-owned subsidiary W-HA, which engages in electronic money activities and payment management. Orange also holds a non-controlling minority stake in KissKissBankBank, a crowdfunding platform.</w:t>
        <w:br/>
        <w:t>5. Under the memorandum of understanding dated April 21, 2016, the operation consists of the contribution by the company Cofintex 17, a subsidiary of Groupe Groupama, of 100% of the share capital of the sole company Groupama Banque SA to the company RAPP 77, a subsidiary of Orange Participations, which is itself a wholly-owned subsidiary of Orange SA. In exchange for this contribution, Cofintex 17 will become a 35% shareholder of RAPP 77, while Orange Participations will hold 65% of the capital. At the conclusion of the operation, RAPP 77 will be renamed Compagnie Financière d’Orange Bank and will hold 100% of the capital of Groupama Banque, renamed Orange Bank.</w:t>
        <w:br/>
        <w:t>6. Within the management bodies of Orange Bank,2 [Confidential].</w:t>
        <w:br/>
        <w:t>7. [Confidential]. At the conclusion of the operation, Groupe Groupama will therefore be able to exert a decisive influence on the activities of Orange Bank.</w:t>
        <w:br/>
        <w:t>8. As it results in the joint control of Groupama Banque, renamed Orange Bank, by Orange alongside Groupe Groupama, the notified operation constitutes a concentration within the meaning of Article L. 430-1 of the Commercial Code.</w:t>
        <w:br/>
        <w:t>9. The concerned companies together achieve a total worldwide turnover excluding taxes of more than 150 million euros (Orange: 40.24 billion euros for the fiscal year ending December 31, 2015; Groupe Groupama: 10.29 billion euros for the fiscal year ending the same year3). Each of these companies has achieved a turnover in France exceeding 50 million euros (Orange: […] billion euros for the fiscal year ending December 31, 2015; Groupe Groupama: 7.52 billion euros for the fiscal year ending the same year). Given these turnover figures, the thresholds set out in Article 1, paragraph 2, a) and b) of Council Regulation (EC) No. 139/2004 of January 20, 2004, are met. Nevertheless, since Orange4 and Groupe Groupama generate more than two-thirds of their turnover in France,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A. THE CHARACTERISTICS OF ORANGE BANK</w:t>
        <w:br/>
        <w:t>10. Groupama Banque primarily operates in the retail banking sector as a bank of Groupe Groupama. It also engages, to a marginal extent, in commercial banking activities, mainly with agricultural operators, and private banking.</w:t>
        <w:br/>
        <w:t>11. Orange Bank aims to develop a comprehensive banking offer, primarily targeting individual clients, accessible via mobile phone on the model of online banks, such as Boursorama Banque (Société Générale), ING Direct (ING), Fortuneo Banque (Crédit Mutuel/Arkea), or Hello Bank! (BNP Paribas).</w:t>
        <w:br/>
        <w:t>12. Opening a bank account with Orange Bank will be possible through digital channels (dedicated website and mobile application) under the Orange Bank brand. These banking offers will continue to be distributed under the Groupama or Gan brand through the agency network, primarily in rural areas, of Groupama and Gan under distribution agreements and brand licensing.</w:t>
        <w:br/>
        <w:t>13. The notifying parties indicated that Orange boutiques are not intended to offer the banking services generally provided within agencies. While 140 of the 517 boutiques in the Orange network will be able to offer mobile phone customers the subscription of an Orange Bank current account, all routine management actions will be carried out by the customer themselves on the mobile application or by a telephone advisor from the Orange Bank customer service.</w:t>
        <w:br/>
        <w:t>14. In this case, the competitive analysis of the present operation regarding vertical and conglomerate effects will be conducted on markets that present connections between the activities carried out by the joint venture and those of Orange, particularly in the mobile telephony markets, and of Groupe Groupama, particularly in the insurance product markets.</w:t>
      </w:r>
    </w:p>
    <w:p>
      <w:r>
        <w:rPr>
          <w:b/>
        </w:rPr>
        <w:t>[Pages 4–6]</w:t>
      </w:r>
    </w:p>
    <w:p>
      <w:r>
        <w:t>B. RETAIL BANKING MARKETS</w:t>
        <w:br/>
        <w:t>1. SERVICE MARKETS</w:t>
        <w:br/>
        <w:t>15. Within banking activities, national5 and European6 decision-making practice traditionally distinguishes three categories of services:</w:t>
        <w:br/>
        <w:t> banking services intended for individuals (retail banking);</w:t>
        <w:br/>
        <w:t> banking services intended for businesses (commercial banking);</w:t>
        <w:br/>
        <w:t> operations on financial markets (investment banking).</w:t>
        <w:br/>
        <w:t>16. Furthermore, national decision-making practice7 has considered distinguishing a market for banking operations intermediation, separate from the markets for the provision of banking services.</w:t>
        <w:br/>
        <w:t>17. It follows from decision-making practice that retail banking encompasses banking services intended for individuals. Additionally, entrepreneurs have been considered as clients of retail banking, as their needs are closer to those of individuals than to those of commercial companies8.</w:t>
        <w:br/>
        <w:t>18. For this entire clientele, the following markets have been analyzed: the market for demand deposits, the market for banking savings (notably savings bonds and accounts that cannot be immediately mobilized such as term accounts), the market for off-balance-sheet savings (Variable Capital Investment Company, Mutual Fund, and pension funds), the market for mortgage credit, the market for consumer credit9, the market for debt restructuring credit, the market for the issuance of payment cards (issuance for the benefit of clients), the market for private banking, and the market for securities custody ("retail custody").</w:t>
        <w:br/>
        <w:t>19. There is no reason to challenge these market delineations in the context of the present operation.</w:t>
        <w:br/>
        <w:t>5 See the letter from the Minister of Economy, Finance and Industry No. C2006-45 of August 10, 2006, to the boards of the Caisse Nationale des Caisses d’Epargne and the Banque Fédérale des Banques Populaires, regarding a concentration in the banking services sector, the letter from the Minister of Economy, Finance and Industry No. 2007-08 of March 26, 2007, to the boards of the Banque Fédérale des Banques Populaires, regarding a concentration in the real estate services sector, the decision of the Competition Authority No. 09-DCC-16 of June 22, 2009, regarding the merger between the Caisse d’Epargne and Banque Populaire groups, and the decision of the Competition Authority No. 10-DCC-116 of September 10, 2010, regarding the exclusive control of Société Marseillaise de Crédit by the Société Générale-Crédit du Nord group.</w:t>
        <w:br/>
        <w:t>6 See, for example, the decisions of the European Commission No. COMP / M.4844, Fortis / ABN AMRO Assets, of October 3, 2007, and COMP / M. 2567, Nordbanken / Postgirot of November 8, 2001.</w:t>
        <w:br/>
        <w:t>7 See the aforementioned letter from the Minister No. 2007-08, and the decision of the Authority No. 09-DCC-16, mentioned above.</w:t>
        <w:br/>
        <w:t>8 See the decision No. 15-DCC-105 of August 12, 2015, regarding the joint control of Primonial Holding by Crédit Mutuel Arkéa, Primonial Management, Blackfin, and Latour Capital.</w:t>
        <w:br/>
        <w:t>9 See the letter C2006-45 from the Minister of Economy to the boards of the Caisse Nationale des Caisses d’Epargne and the Banque Fédérale des Banques Populaires and the decision of the Authority No. 09-DCC-16 mentioned above. See also the decisions of the European Commission COMP / M.5384 BNP Paribas / Fortis, M.5432 Crédit Mutuel / Cofidis, and M.5222 Sofinco/Banco Popolare/Ducato/Agos.</w:t>
      </w:r>
    </w:p>
    <w:p>
      <w:r>
        <w:t>2. GEOGRAPHICAL MARKETS</w:t>
        <w:br/>
        <w:t>20. National and European decision-making practice generally considers that retail banking markets are at most of national dimension, despite some European harmonization10.</w:t>
        <w:br/>
        <w:t>21. Competition authorities have already noted that, regarding banking services11 for individuals, the proximity of agencies was an important factor given the significance of the relational aspect. In this regard, the European Commission noted in its decision COMP/M.4844 – Fortis/ABN AMRO ASSETS of October 3, 2007, that despite a growing penetration rate of the Internet, agencies maintained a crucial role in establishing a client relationship, particularly concerning advice for complex banking products and services.</w:t>
        <w:br/>
        <w:t>22. In France, it is a constant practice to consider that each of the DROM constitutes a distinct geographical market, given the significant geographical distance from the mainland, insularity, and the specificities of local economies12. Furthermore, decision-making practice has emphasized that competitive conditions in the metropolitan territory are not homogeneous, particularly given the significant role held by mutual and cooperative networks in the French banking system, differences in the establishment of banking groups, the adaptation of commercial strategies to the local competitive context, and the existence of regional banking brands. Competitive analysis has thus been conducted both at the national level and at the local level, with practice retaining, for the latter level, circles with a radius corresponding to a journey of about twenty minutes by car around a municipality13.</w:t>
        <w:br/>
        <w:t>23. In this case, the exact geographical definition of these markets may nonetheless remain open, as, regardless of the delineation retained, the conclusions of the competitive analysis will remain unchanged in the absence of any overlap of activities between the parties.</w:t>
        <w:br/>
        <w:t>C. THE INSURANCE SECTOR</w:t>
        <w:br/>
        <w:t>24. In France, Groupe Groupama has an activity of production and distribution of property and liability insurance products, on one hand, and personal insurance14, on the other hand. Groupe Groupama does not distribute insurance products developed by third parties. Groupe Groupama relies on three distribution networks: the Groupama network, the Gan network, and the direct online sales channel "Amaguiz.com."</w:t>
        <w:br/>
        <w:t>10 See the aforementioned decision No. 15-DCC-105, point 22; see the decision of the European Commission COMP/M. 4844 – Fortis/ABN AMRO Assets.</w:t>
        <w:br/>
        <w:t>11 See the decisions of the Authority No. 09-DCC-16, points 138 to 146, and No. 15-DCC-105, mentioned above, point 35.</w:t>
        <w:br/>
        <w:t>12 See the decision of the Authority No. 09-DCC-16, mentioned above, point 87.</w:t>
        <w:br/>
        <w:t>13 Ibid.</w:t>
        <w:br/>
        <w:t>14 In particular, life insurance products, provident insurance, health insurance, retirement savings, employee savings, and collective insurance.</w:t>
      </w:r>
    </w:p>
    <w:p>
      <w:r>
        <w:t>25. At the conclusion of the operation, under the exclusive supply contract that the parties will enter into, Orange Bank commits to sourcing insurance products from Groupe Groupama for a period of 10 years.</w:t>
        <w:br/>
        <w:t>26. Orange Bank will therefore be active in the downstream market of distributing insurance products on behalf of third parties (2), while Groupe Groupama is present in the upstream markets of the "production" of these same products (1).</w:t>
        <w:br/>
        <w:t>1. UPSTREAM MARKETS FOR INSURANCE PRODUCTS</w:t>
        <w:br/>
        <w:t>a) Product and service markets</w:t>
        <w:br/>
        <w:t>27. Within the insurance sector, European16 and national17 decision-making practice consistently distinguishes between the market for personal insurance and the market for property and liability insurance, each of which can in turn be segmented into as many markets as there are insurances covering different types of risks or types of contracts, insofar as, from the demand perspective, these insurances or contracts differ and are not substitutable.</w:t>
        <w:br/>
        <w:t>28. Regarding the market for personal insurance, an additional segmentation can be made between collective insurance contracts, concluded between an insurer and a subscriber distinct from the beneficiary, and individual insurance contracts for which the subscriber is also the beneficiary18.</w:t>
        <w:br/>
        <w:t>29. Within the markets for property and liability insurance, an additional segmentation can be made between insurances intended for individuals and insurances intended for professionals19.</w:t>
        <w:br/>
        <w:t>30. In any case, the exact definition of each of these markets can be left open, as the conclusions of the competitive analysis will remain unchanged regardless of the segmentations retained.</w:t>
        <w:br/>
        <w:t>b) Geographical markets</w:t>
        <w:br/>
        <w:t>31. Regarding their geographical delineations, with the exception of certain insurances covering large-scale risks, national decision-making practice20 considers that insurance markets are of national dimension given consumer preferences, the existence of national legislation and tax constraints, the current structure of these markets, or the regulatory systems concerning this sector of activities.</w:t>
        <w:br/>
        <w:t>15 This supply and distribution contract is included in Annex 3.2.4, Appendix 3 of the memorandum of understanding concluded between the parties.</w:t>
        <w:br/>
        <w:t>16 See in particular the decisions of the European Commission COMP/M.5083 - Groupama / OTP Garancia of April 15, 2008; and COMP/M.3556 - Fortis / BCP of January 19, 2005.</w:t>
        <w:br/>
        <w:t>17 See the decisions of the Authority No. 13-DCC-84 of July 4, 2013, regarding the affiliation of the interprofessional mutual SMI to the mutual insurance group Covéa, No. 10-DCC-52 of June 2, 2010, regarding the creation of a Mutual Insurance Group Company ("SGAM") by MACIF, MAIF, and MATMUT, and No. 11-DCC-97 of June 29, 2011, regarding the affiliation of the provident institution Apgis to the mutual insurance group Covéa and No. 14-DCC-84 of June 20, 2014, regarding the joint control of the Primonial group by Crédit Mutuel Arkéa and Primonial Management.</w:t>
        <w:br/>
        <w:t>18 See in particular the decision of the European Commission COMP / M.5083 mentioned above, and decision No. 09-DCC-61 of November 4, 2009, regarding the exclusive control of the mutual Altéis and the mutual Releya by the mutual Prévadiès.</w:t>
        <w:br/>
        <w:t>19 See, for example, the decisions of the Authority No. 13-DCC-84, No. 10-DCC-52, and No. 11-DCC-97, mentioned above.</w:t>
        <w:br/>
        <w:t>20 See in particular decision No. 10-DCC-52, mentioned above.</w:t>
      </w:r>
    </w:p>
    <w:p>
      <w:r>
        <w:rPr>
          <w:b/>
        </w:rPr>
        <w:t>[Pages 7–9]</w:t>
      </w:r>
    </w:p>
    <w:p>
      <w:r>
        <w:t xml:space="preserve">32. In this case, there is no need to challenge the geographical delimitation of these markets.  </w:t>
        <w:br/>
        <w:t xml:space="preserve">2. DOWNSTREAM MARKETS FOR DISTRIBUTION OF INSURANCE PRODUCTS ON BEHALF OF THIRD PARTIES  </w:t>
        <w:br/>
        <w:t xml:space="preserve">a) Product markets  </w:t>
        <w:br/>
        <w:t xml:space="preserve">33. The distribution of insurance products involves marketing and managing the administrative aspects of guarantees or insurance contracts whose risk is borne by third-party insurers. National competition authorities have left the precise delimitation of markets in this sector open, with several segmentations being considered.  </w:t>
        <w:br/>
        <w:t xml:space="preserve">34. Decision-making practice has thus considered a broad market for the distribution of insurance products by independent intermediaries, encompassing all distribution channels: agents, brokers, and other intermediaries (including banks), with the exception of direct distribution by insurance companies. A market limited to insurance brokerage has been considered in certain decisions of the European Commission.  </w:t>
        <w:br/>
        <w:t xml:space="preserve">35. The markets for the distribution of insurance products can also be segmented based on the category of insured risks (property insurance and personal insurance) and according to the clientele (businesses or individuals). A distinction between the distribution of life insurance products and the distribution of other insurance products has also been considered.  </w:t>
        <w:br/>
        <w:t xml:space="preserve">36. In this case, the question of the exact delimitation of the markets for the distribution of insurance products can be left open as it has no impact on the competitive analysis.  </w:t>
        <w:br/>
        <w:t xml:space="preserve">b) Geographical markets  </w:t>
        <w:br/>
        <w:t xml:space="preserve">37. Decision-making practice considers the markets for the distribution of insurance products on behalf of third parties to be, for the most part, of national dimension.  </w:t>
        <w:br/>
        <w:t xml:space="preserve">38. In this case, there is no need to challenge the geographical delimitation of these markets.  </w:t>
        <w:br/>
        <w:t xml:space="preserve">D. MOBILE TELEPHONY MARKETS  </w:t>
        <w:br/>
        <w:t xml:space="preserve">39. Decision-making practice distinguishes three mobile telephony markets: upstream, the wholesale market for access and call origination on mobile telephone networks (i), downstream, the retail market for mobile telephony (ii), and the market for the distribution of mobile telephony products and services (iii).  </w:t>
        <w:br/>
        <w:t xml:space="preserve">40. Orange is present in these markets, of which only the retail markets for mobile telephony (1) and the distribution of mobile telephony products and services (2) present a vertical and conglomerate link with the banking services that Orange Bank will offer through the dedicated mobile application, which presupposes the ownership of a mobile phone and a subscription.  </w:t>
        <w:br/>
        <w:t xml:space="preserve">1. RETAIL MOBILE TELEPHONY MARKETS  </w:t>
        <w:br/>
        <w:t xml:space="preserve">a) Product and service markets  </w:t>
        <w:br/>
        <w:t xml:space="preserve">41. Regarding retail markets, decision-making practice has consistently defined the retail mobile telephony market as the one where, on the one hand, there is an offer for the provision of mobile telephony services (from mobile network operators (MNOs) or mobile virtual network operators (MVNOs)) and, on the other hand, a demand constituted by end consumers, whether individuals or professionals. Decision-making practice has also considered segmenting the market based on customer categories by distinguishing between the general public and business clientele.  </w:t>
        <w:br/>
        <w:t xml:space="preserve">42. In this case, the question of the exact delimitation of the retail mobile telephony markets can be left open, as the conclusions of the analysis remain unchanged regardless of the hypothesis adopted.  </w:t>
        <w:br/>
        <w:t xml:space="preserve">b) Geographical market  </w:t>
        <w:br/>
        <w:t xml:space="preserve">43. Geographically, national decision-making practice has specified that the retail mobile telephony market should be confined to metropolitan France, as the overseas departments and the territorial collectivities of Mayotte and Saint Pierre and Miquelon have particularities that lead to their distinction from the mainland.  </w:t>
        <w:br/>
        <w:t xml:space="preserve">44. In this case, there is no need to challenge the geographical delimitations of this market.  </w:t>
        <w:br/>
        <w:t xml:space="preserve">2. MARKET FOR THE DISTRIBUTION OF MOBILE TELEPHONY PRODUCTS AND SERVICES  </w:t>
        <w:br/>
        <w:t xml:space="preserve">a) Product and service market  </w:t>
        <w:br/>
        <w:t xml:space="preserve">45. National decision-making practice has defined a global market for the distribution of mobile telephony products and services that encompasses the sale of communication time, mobile telephony terminals, and other services to end consumers.  </w:t>
        <w:br/>
        <w:t xml:space="preserve">46. There is no need to challenge this delimitation in the context of the present operation.  </w:t>
        <w:br/>
        <w:t xml:space="preserve">b) Geographical markets  </w:t>
        <w:br/>
        <w:t xml:space="preserve">47. Decision-making practice has retained a local delimitation of the markets for the distribution of mobile telephony products and services, particularly considering that mobile telephony operators constantly develop their own distribution networks, with a desire to have greater control over the distribution of their products and services. The Authority also conducts a competitive analysis at the national level, as distance selling represents a significant share of mobile telephony service sales in the mainland, while distinguishing the overseas departments and territories due to their local particularities.  </w:t>
        <w:br/>
        <w:t xml:space="preserve">48. In this case, there is no need to challenge the geographical delimitations of this market.  </w:t>
        <w:br/>
        <w:t xml:space="preserve">III. Competitive Analysis  </w:t>
        <w:br/>
        <w:t xml:space="preserve">A. ANALYSIS OF HORIZONTAL EFFECTS  </w:t>
        <w:br/>
        <w:t xml:space="preserve">49. The creation of a joint venture can lead to horizontal effects when the parent companies, being simultaneously present in the same market, transfer all or part of this activity to the subsidiary.  </w:t>
        <w:br/>
        <w:t xml:space="preserve">50. While Orange already offers its customers mobile payment services, called Orange Cash and Orange Money, the commercial development of these offers [confidential].  </w:t>
        <w:br/>
        <w:t xml:space="preserve">51. In this case, only Groupe Groupama is active in the retail banking markets, so the operation is not likely to lead to horizontal effects.  </w:t>
        <w:br/>
        <w:t xml:space="preserve">B. ANALYSIS OF VERTICAL EFFECTS ON INSURANCE MARKETS  </w:t>
        <w:br/>
        <w:t xml:space="preserve">52. A vertical concentration can restrict competition by making it more difficult to access the markets in which the new entity will be active, potentially driving out competitors or penalizing them by increasing their costs. This lock-in can target downstream markets when the integrated company refuses to sell an input to its downstream competitors (input lock-in), or upstream markets when the downstream branch of the integrated company refuses to purchase products from upstream manufacturers, thereby reducing their commercial outlets (customer access lock-in). Decision-making practice of competition authorities generally dismisses the risks of market lock-in when the share of the company resulting from the operation in the relevant markets does not exceed 30%.  </w:t>
        <w:br/>
        <w:t>53. As mentioned above, at the conclusion of the operation, Orange Bank will exclusively source insurance products from Groupe Groupama, and more specifically</w:t>
      </w:r>
    </w:p>
    <w:p>
      <w:r>
        <w:rPr>
          <w:b/>
        </w:rPr>
        <w:t>[Pages 10–11]</w:t>
      </w:r>
    </w:p>
    <w:p>
      <w:r>
        <w:t>those complementary to the banking service of account opening (borrower insurance and payment means insurance).</w:t>
      </w:r>
    </w:p>
    <w:p>
      <w:r>
        <w:t>54. However, the operation is not likely to harm competition through vertical effects insofar as Groupe Groupama's market share in the upstream insurance markets is below 25% in each of the identified product or service markets. Furthermore, prior to the operation, Groupama Banque was already sourcing insurance products from Groupe Groupama.</w:t>
      </w:r>
    </w:p>
    <w:p>
      <w:r>
        <w:t>C. ANALYSIS OF CONGLOMERATE EFFECTS</w:t>
        <w:br/>
        <w:t>55. A concentration is likely to have conglomerate effects when the new entity extends or strengthens its presence in several markets, the connection of which may allow it to exploit a leverage effect. The company thus increases the sales of a product in one market by leveraging its strong position in another market to which the first product is linked or bundled.</w:t>
      </w:r>
    </w:p>
    <w:p>
      <w:r>
        <w:t>56. The present operation aims to develop a new banking offer in the retail banking market primarily based on the mobile terminal application of Orange Bank. At the conclusion of the operation, the joint venture could benefit from the Orange group's position in the retail mobile telephony markets from which it could promote the banking services associated with its application and thereby enhance its position in the retail banking markets.</w:t>
      </w:r>
    </w:p>
    <w:p>
      <w:r>
        <w:t>57. In the same way as for vertical effects, the decision-making practice of competition authorities generally dismisses the risks of conglomerate effects when the market share of the company resulting from the operation in the relevant markets does not exceed 30%.</w:t>
      </w:r>
    </w:p>
    <w:p>
      <w:r>
        <w:t>58. In this case, the market share of the Orange group in the retail mobile telephony markets, estimated at [30-40]%, is slightly above the threshold set by decision-making practice. In the markets for the distribution of mobile telephony products and services, the parties indicated that only 140 of the 517 stores that make up the Orange network will be authorized to offer the subscription of an Orange Bank account, a network whose physical footprint appears relatively limited compared to the 37,623 bank branches recorded in France in 201434.</w:t>
      </w:r>
    </w:p>
    <w:p>
      <w:r>
        <w:t>59. Moreover, the new entity will remain subject to competition from several groups also active in the mobile telephony and retail banking markets, such as the La Poste group, with its subsidiary La Poste Mobile, and Crédit Mutuel, with its subsidiary EI Telecom.</w:t>
      </w:r>
    </w:p>
    <w:p>
      <w:r>
        <w:t>60. Consequently, the operation is not likely to harm competition through conglomerate effects in the retail banking markets.</w:t>
      </w:r>
    </w:p>
    <w:p>
      <w:r>
        <w:t>DECIDES</w:t>
        <w:br/>
        <w:t>Sole Article: The operation notified under number 16-057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