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https://www.autoritedelaconcurrence.fr/fr/decision-de-controle-des-concentrations/relative-la-prise-de-controle-conjoint-de-la-societe-7days</w:t>
      </w:r>
    </w:p>
    <w:p>
      <w:r>
        <w:t>Pages translated : 2</w:t>
      </w:r>
    </w:p>
    <w:p/>
    <w:p>
      <w:r>
        <w:rPr>
          <w:b/>
        </w:rPr>
        <w:t>[Pages 1–2]</w:t>
      </w:r>
    </w:p>
    <w:p>
      <w:r>
        <w:t xml:space="preserve">FRENCH REPUBLIC  </w:t>
        <w:br/>
        <w:t xml:space="preserve">Decision No. 21-DCC-02 of January 12, 2021  </w:t>
        <w:br/>
        <w:t xml:space="preserve">regarding the joint control acquisition of the company 7days by the investment funds Chequers Capital and Paragon III  </w:t>
        <w:br/>
        <w:t xml:space="preserve">The Competition Authority,  </w:t>
        <w:br/>
        <w:t xml:space="preserve">Having regard to the complete notification file submitted to the mergers department on December 10, 2020, concerning the joint control acquisition of the company 7days HoldCo by the investment funds Chequers Capital and Paragon III, formalized by a share transfer agreement dated November 26,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of the company 7days HoldCo, active in the sector of manufacturing and marketing reusable medical workwear for healthcare professionals, by the investment funds Chequers Capital (managed by the company Chequers Partenaires SA) and Paragon III (managed by the Paragon Partners group). It constitutes a concentration operation within the meaning of Article L. 430-1 of the Commercial Code. Given the revenues generated by the companies involved,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20-255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