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https://www.autoritedelaconcurrence.fr/fr/decision-de-controle-des-concentrations/relative-la-prise-de-controle-conjoint-de-la-societe-81</w:t>
      </w:r>
    </w:p>
    <w:p>
      <w:r>
        <w:t>Pages translated : 5</w:t>
      </w:r>
    </w:p>
    <w:p/>
    <w:p>
      <w:r>
        <w:rPr>
          <w:b/>
        </w:rPr>
        <w:t>[Pages 1–3]</w:t>
      </w:r>
    </w:p>
    <w:p>
      <w:r>
        <w:t xml:space="preserve">FRENCH REPUBLIC  </w:t>
        <w:br/>
        <w:t xml:space="preserve">Decision No. 16-DCC-175 of November 14, 2016  </w:t>
        <w:br/>
        <w:t xml:space="preserve">regarding the joint control of the company Cocerdis by the  </w:t>
        <w:br/>
        <w:t>Plane and Carrefour groups</w:t>
      </w:r>
    </w:p>
    <w:p>
      <w:r>
        <w:t xml:space="preserve">The Competition Authority,  </w:t>
        <w:br/>
        <w:t xml:space="preserve">Having regard to the notification file submitted in full to the merger service on October 10, 2016,  </w:t>
        <w:br/>
        <w:t xml:space="preserve">regarding the joint control of Cocerdis by the Plane and Carrefour groups,  </w:t>
        <w:br/>
        <w:t xml:space="preserve">formalized by two agreements dated September 30, 2016;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Amidis et Cie is a subsidiary of the Carrefour group (hereinafter, together, "Carrefour"),  </w:t>
        <w:br/>
        <w:t xml:space="preserve">a French group active in the retail sector with a food focus as well as in wholesale distribution with a food focus in France and worldwide. In France, Carrefour operates 5,668 stores1 (hypermarkets, supermarkets, convenience stores, wholesale self-service), under the brands Carrefour, Carrefour Market, Carrefour City, Carrefour Contact, Carrefour Express, Carrefour Montagne, Huit à 8, Marché Plus, Proxi, Promocash. The Carrefour group also has a drive activity and various commercial websites, one for food (Ooshop) and the other for non-food (On Line Carrefour). Carrefour also enters into contracts with companies operating retail stores with a food focus, allowing these companies to operate their points of sale under one of the Carrefour group brands, to source from its purchasing centers, to benefit from negotiated purchasing conditions by Carrefour with suppliers referenced by the group, and to benefit from the services offered by Carrefour.  </w:t>
        <w:br/>
        <w:t xml:space="preserve">2. The Plane family holds 50% of the capital of the company Plamidis, over which it exercises joint control alongside the company Amidis2. Plamidis operates through its subsidiaries commercial establishments with a food focus under the Carrefour Market brand in Laroque des Albères (66), Saint Paul de Fenouillet (66), Lézignan Corbières (11), Marseillan (34), Banyuls sur Mer (66), and Saint Juéry (81).  </w:t>
        <w:br/>
        <w:t xml:space="preserve">3. Cocerdis is a French law company that operates a commercial establishment with a food focus under the Carrefour Market brand, with an area of 1,843 m² and located in the city of Céret (66). The capital of the company Cocerdis is currently held jointly and equally by the company Amidis et Cie, a subsidiary of the Carrefour Group, and the company Emianto, wholly owned by the Granier heirs.  </w:t>
        <w:br/>
        <w:t xml:space="preserve">4. The notified operation, formalized by two agreements dated September 30, 2016, consists of the acquisition by the company Plamidis, jointly controlled by the Plane family and the Carrefour group, of the entire capital of the company Cocerdis.  </w:t>
        <w:br/>
        <w:t xml:space="preserve">5. Insofar as it results in the joint control of the company Cocerdis by the Plane family and the Carrefour group, the operation constitutes a concentration within the meaning of Article L. 430-1 of the Commercial Code.  </w:t>
        <w:br/>
        <w:t>6. The concerned companies operate several retail stores and together achieve a total worldwide turnover of more than 75 million euros (Carrefour: 77 billion euros for the fiscal year ending December 31, 2015; the Plane family: 53.4 million euros for the fiscal year ending January 31, 2016). The concerned companies achieve in France in the retail sector a turnover exceeding 15 million euros (Carrefour: 36 billion euros for the fiscal year ending December 31, 2015; the Plane family: 53.4 million euros for the fiscal year ending January 31, 2015). Given these turnover figures, the operation does not fall under the jurisdiction of the European Union. On the other hand, the control thresholds applicable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7. The markets concerned by the operation fall within the sector of predominantly food distribution.  </w:t>
        <w:br/>
        <w:t>8. According to the decision-making practice of national3 and European4 competition authorities, two categories of markets can be delineated in the predominantly food distribution sector: on the one hand, the "downstream" markets, of local dimension, which involve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9. Regarding the retail sale of everyday consumer goods, the decision-making practice5 has distinguished six categories of businesses using several criteria, notably the size of the stores, their sales techniques, their accessibility, the nature of the service rendered, and the breadth of the product ranges offered: (i) hypermarkets (stores with a food focus with a legal sales area exceeding 2,500 m²), (ii) supermarkets (between 400 and 2,500 m²), (iii) specialized commerce, (iv) small retail (less than 400 m²), (v) maxi-discount stores, (vi) mail order sales.  </w:t>
        <w:br/>
        <w:t xml:space="preserve">10. Within small retail6, small self-service stores that offer a narrow assortment of everyday products (a surface area of less than 120 m²) and convenience stores whose product offering is somewhat broader (a surface area between 120 and 400 m²) are distinguished.  </w:t>
        <w:br/>
        <w:t>11. In this case, the company Cocerdis operates a commercial establishment with a food focus with an area of 1,843 m². It therefore falls into the category of supermarkets.</w:t>
      </w:r>
    </w:p>
    <w:p>
      <w:r>
        <w:t xml:space="preserve">2. GEOGRAPHICAL DELIMITATION  </w:t>
        <w:br/>
        <w:t xml:space="preserve">12. In its recent decisions7 regarding operations concerning hypermarkets or supermarkets, the Competition Authority has recalled that depending on the size of the stores concerned, the conditions of competition should be assessed in two different areas:  </w:t>
        <w:br/>
        <w:t xml:space="preserve">3 See notably decision No. 12-DCC-48 of April 6, 2012, regarding the exclusive control of the company Sofides by the company ITM Entreprises, and decision No. 12-DCC-125 of August 27, 2012, regarding the joint control of 28 retail stores with a food focus by the Union of Alsace Cooperators and the Association of E.Leclerc Distribution Centers. See also the decision of the Competition Authority No. 14-DCC-173 mentioned above.  </w:t>
        <w:br/>
        <w:t xml:space="preserve">4 See notably the decisions of the European Commission M. 1221, Rewe/Meinl of February 3, 1999, and M. 1684, Carrefour/Promodès of January 25, 2000.  </w:t>
        <w:br/>
        <w:t xml:space="preserve">5 See, for example, the decision of the Competition Authority No. 12-DCC-63 of May 9, 2012, regarding the exclusive control of the company Guyenne et Gascogne SA by the company Carrefour SA, decision No. 13-DCC-90 of July 11, 2013, regarding the exclusive control of the company Monoprix by the company Casino Guichard-Perrachon, and the decision No. 14-DCC-173 mentioned above.  </w:t>
        <w:br/>
        <w:t xml:space="preserve">6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proximity food commerce.  </w:t>
        <w:br/>
        <w:t>7 See notably the decision of the Competition Authority No. 11-DCC-04 of January 28, 2011, regarding the exclusive control of the company Mafical by the company ITM Alimentaire Région parisienne, decision No. 11-DCC-45 of March 18, 2011, regarding the exclusive control of the commercial establishment of the hypermarket Cora Desmarais by the company Sodex Desmarais, decision No. 12-DCC-63, and decision No. 14-DCC-173 mentioned above.</w:t>
      </w:r>
    </w:p>
    <w:p>
      <w:r>
        <w:rPr>
          <w:b/>
        </w:rPr>
        <w:t>[Pages 4–5]</w:t>
      </w:r>
    </w:p>
    <w:p>
      <w:r>
        <w:t>- a first market where the demand of consumers in an area meets the supply of hypermarkets accessible to them within less than 30 minutes by car and which are, from their point of view,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13. Other criteria may nevertheless be taken into account to assess the impact of a concentration on the competitive situation in retail distribution markets, which may lead to refining, in the specific case, the usual delineations presented above.</w:t>
      </w:r>
    </w:p>
    <w:p>
      <w:r>
        <w:t>14. In this case, the store concerned falls into the category of supermarkets, the competitive analysis will be conducted on the market including supermarkets and equivalent forms of commerce (hypermarkets, hard discount, and popular stores), excluding small retail businesses (less than 400 m²), located within a 15-minute radius around the target store in Céret (66).</w:t>
      </w:r>
    </w:p>
    <w:p>
      <w:r>
        <w:t>B. UPSTREAM SUPPLY MARKETS</w:t>
      </w:r>
    </w:p>
    <w:p>
      <w:r>
        <w:t>15. Regarding the upstream supply markets, the European Commission has recognized the existence of markets of national dimension by major product groups, a delineation followed by national authorities8.</w:t>
      </w:r>
    </w:p>
    <w:p>
      <w:r>
        <w:t>16. There is no need to challenge this delineation in the context of the present operation.</w:t>
      </w:r>
    </w:p>
    <w:p>
      <w:r>
        <w:t>III. Competitive Analysis</w:t>
      </w:r>
    </w:p>
    <w:p>
      <w:r>
        <w:t>A. DOWNSTREAM MARKETS OF PREDOMINANTLY FOOD DISTRIBUTION</w:t>
      </w:r>
    </w:p>
    <w:p>
      <w:r>
        <w:t>17. In the market comprising all supermarkets and equivalent forms of commerce located within a 15-minute drive around the sales point in Céret, the target store represents 15.1% of the sales areas. It is the only sales point operated under a brand of the Carrefour group, thus the operation does not result in any overlap of activities. The parties will also remain subject to competition exerted by the Intermarché group (45.7% market share) and the Leclerc group (24.7%).</w:t>
      </w:r>
    </w:p>
    <w:p>
      <w:r>
        <w:t>18. The operation is therefore not likely to harm competition in the downstream distribution markets.</w:t>
      </w:r>
    </w:p>
    <w:p>
      <w:r>
        <w:t>8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as well as the decisions of the Competition Authority n°11-DCC-45 and 11-DCC-04 mentioned above.</w:t>
      </w:r>
    </w:p>
    <w:p>
      <w:r>
        <w:t>B. UPSTREAM SUPPLY MARKETS</w:t>
      </w:r>
    </w:p>
    <w:p>
      <w:r>
        <w:t>19. Regarding the upstream supply markets, it should be noted that the operation is limited to a store that represents only a marginal part of the turnover achieved by the Carrefour group in France. The acquisition of joint control of the company Cocerdis is therefore not likely to significantly strengthen the purchasing power of the Carrefour group, across all products as well as by major product groups.</w:t>
      </w:r>
    </w:p>
    <w:p>
      <w:r>
        <w:t>20. The operation is therefore not likely to harm competition in the upstream supply markets.</w:t>
      </w:r>
    </w:p>
    <w:p>
      <w:r>
        <w:t>DECIDES</w:t>
      </w:r>
    </w:p>
    <w:p>
      <w:r>
        <w:t>Single Article: The operation notified under number 16-198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