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https://www.autoritedelaconcurrence.fr/fr/decision-de-controle-des-concentrations/relative-la-prise-de-controle-conjoint-de-la-societe-83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18-DCC-129 of August 1, 2018</w:t>
        <w:br/>
        <w:t>regarding the joint control acquisition of the company Fertinagro Biotech</w:t>
        <w:br/>
        <w:t>by the company OCP International Coöperatieve UA and the company</w:t>
        <w:br/>
        <w:t>Inversalia Patrimonio</w:t>
        <w:br/>
        <w:t>The Competition Authority,</w:t>
        <w:br/>
        <w:t>Having regard to the notification file submitted complete to the mergers department on July 5, 2018,</w:t>
        <w:br/>
        <w:t>regarding the joint control acquisition of the company Fertinagro Biotech by the companies OCP</w:t>
        <w:br/>
        <w:t>International Coöperatieve UA and Inversalia Patrimonio, formalized by an investment agreement</w:t>
        <w:br/>
        <w:t>and a shareholders' pact signed on March 16, 2018;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of the company Fertinagro Biotech</w:t>
        <w:br/>
        <w:t>by the companies OCP International Coöperatieve UA and Inversalia Patrimonio. It constitutes</w:t>
        <w:br/>
        <w:t>a concentration within the meaning of Article L. 430-1 of the Commercial Code. Given the revenues</w:t>
        <w:br/>
        <w:t>generated by the concerned companies, the notification thresholds of Article 1 paragraph 2 of Regulation (EC) 139/2004 are not exceeded. The operation therefore does not fall under the jurisdiction of the European Union. On the other hand, the control thresholds mentioned in I of Article L. 430-2 of the Commercial Code are exceeded. The present operation is therefore subject to the provisions of Articles L. 430-3 and following of the Commercial Code relating to economic concentration.</w:t>
        <w:br/>
        <w:t>2. The markets concerned by the operation are the markets for fertilizers and animal nutrition,</w:t>
        <w:br/>
        <w:t>which are consistently defined by the decision-making practice of the Competition Authority.</w:t>
        <w:br/>
        <w:t>3. Regardless of the segmentations retained, the combined market shares of the parties are</w:t>
        <w:br/>
        <w:t>below 25%.</w:t>
        <w:br/>
        <w:t>4. Considering the elements of the file and in particular in light of point 384 of the guidelines of</w:t>
        <w:br/>
        <w:t>the Competition Authority regarding the control of concentrations, the operation is not likely to</w:t>
        <w:br/>
        <w:t>harm competition.</w:t>
      </w:r>
    </w:p>
    <w:p>
      <w:r>
        <w:t>DECIDES</w:t>
        <w:br/>
        <w:t>Sole Article: The operation notified under number 18-115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