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https://www.autoritedelaconcurrence.fr/fr/decision-de-controle-des-concentrations/relative-la-prise-de-controle-conjoint-de-la-societe-86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17-DCC-136 of August 24, 2017  </w:t>
        <w:br/>
        <w:t xml:space="preserve">regarding the joint control acquisition of the company Pevodis by the  </w:t>
        <w:br/>
        <w:t xml:space="preserve">companies ITM Entreprises and Corbilance  </w:t>
        <w:br/>
        <w:t xml:space="preserve">The Competition Authority,  </w:t>
        <w:br/>
        <w:t xml:space="preserve">Having regard to the complete notification file submitted to the mergers department on July 31, 2017,  </w:t>
        <w:br/>
        <w:t xml:space="preserve">concerning the joint control acquisition of the company Pevodis by the companies ITM Entreprises and  </w:t>
        <w:br/>
        <w:t xml:space="preserve">Corbilance, formalized by a share transfer agreement dated June 26,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ITM Entreprises  </w:t>
        <w:br/>
        <w:t xml:space="preserve">and Corbilance of the company Pevodis, which operates a predominantly food retail outlet under the  </w:t>
        <w:br/>
        <w:t xml:space="preserve">Simply Market brand in the city of Veretz (37). It constitutes a concentration within the meaning of  </w:t>
        <w:br/>
        <w:t xml:space="preserve">Article L. 430-1 of the Commercial Code. Given the turnover achieved by the companies concerned,  </w:t>
        <w:br/>
        <w:t xml:space="preserve">the operation does not fall under the jurisdiction of the European Union. However, the retail control  </w:t>
        <w:br/>
        <w:t xml:space="preserve">thresholds mentioned in II of Article L. 430-2 of the Commercial Code are exceeded. This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The markets concerned by the operation are those of retail trade in which the parties are  </w:t>
        <w:br/>
        <w:t xml:space="preserve">simultaneously active. These markets are consistently defined by the decision-making practice of the  </w:t>
        <w:br/>
        <w:t xml:space="preserve">Competition Authority.  </w:t>
        <w:br/>
        <w:t xml:space="preserve">3. Regardless of the segmentations retained, the estimated market shares of the new entity are  </w:t>
        <w:br/>
        <w:t xml:space="preserve">below 15%.  </w:t>
        <w:br/>
        <w:t xml:space="preserve">4. Considering the elements of the file and point 384 of the guidelines of the Competition Authority  </w:t>
        <w:br/>
        <w:t>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17-164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