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w:t>
      </w:r>
    </w:p>
    <w:p>
      <w:r>
        <w:t>Pages translated : 7</w:t>
      </w:r>
    </w:p>
    <w:p/>
    <w:p>
      <w:r>
        <w:rPr>
          <w:b/>
        </w:rPr>
        <w:t>[Pages 1–3]</w:t>
      </w:r>
    </w:p>
    <w:p>
      <w:r>
        <w:t xml:space="preserve">FRENCH REPUBLIC  </w:t>
        <w:br/>
        <w:t xml:space="preserve">Decision No. 10-DCC-75 of July 6, 2010  </w:t>
        <w:br/>
        <w:t xml:space="preserve">regarding the joint control of the company Ceritex by the  </w:t>
        <w:br/>
        <w:t xml:space="preserve">groups Faceo and Sofinord  </w:t>
        <w:br/>
        <w:t xml:space="preserve">The Competition Authority,  </w:t>
        <w:br/>
        <w:t xml:space="preserve">Having regard to the notification file submitted in full to the merger service on June 2, 2010,  </w:t>
        <w:br/>
        <w:t xml:space="preserve">regarding the joint control of the company Ceritex by the groups Faceo and Sofinord,  </w:t>
        <w:br/>
        <w:t xml:space="preserve">formalized by a shareholders' agreement signed on February 22, 2010;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w:t>
        <w:br/>
        <w:t xml:space="preserve">1. The company Sofinord is the parent holding company of the Sofinord group. The latter is primarily  </w:t>
        <w:br/>
        <w:t xml:space="preserve">active in the field of reception services in companies and event management.  </w:t>
        <w:br/>
        <w:t xml:space="preserve">The Sofinord group also engages in activities in the sector of technical and administrative management of  </w:t>
        <w:br/>
        <w:t xml:space="preserve">real estate complexes (or "facility management") and notably provides personal services (known as "soft services"). The capital of the company  </w:t>
        <w:br/>
        <w:t xml:space="preserve">Sofinord is wholly owned by the company Minh Cam, which is exclusively controlled  </w:t>
        <w:br/>
        <w:t xml:space="preserve">by Mr. X and his family, who do not own any other company.  </w:t>
        <w:br/>
        <w:t xml:space="preserve">2. The total worldwide turnover excluding taxes achieved by the Sofinord group as of December 31,  </w:t>
        <w:br/>
        <w:t xml:space="preserve">2008, the last completed fiscal year, amounts to [….] million euros, of which [&gt;50] million euros in  </w:t>
        <w:br/>
        <w:t xml:space="preserve">France.  </w:t>
        <w:br/>
        <w:t xml:space="preserve">3. Faceo SAS is the parent company of the Faceo group, primarily active in the sector of  </w:t>
        <w:br/>
        <w:t xml:space="preserve">technical and administrative management of real estate complexes. The company Faceo is exclusively controlled  </w:t>
        <w:br/>
        <w:t xml:space="preserve">by Apax Partners &amp; Cie (hereinafter "Apax"), through the venture capital fund Apax France VII and the venture capital company Altamir Amboise  </w:t>
        <w:br/>
        <w:t xml:space="preserve">SCA1.  </w:t>
        <w:br/>
        <w:t xml:space="preserve">4. The total worldwide turnover excluding taxes achieved by the Apax group in 2008, the last  </w:t>
        <w:br/>
        <w:t xml:space="preserve">completed fiscal year, amounts to 5 billion euros, of which 2.7 billion euros in France.  </w:t>
        <w:br/>
        <w:t xml:space="preserve">5. The company Ceritex operates in the sector of physical and telephone reception in  </w:t>
        <w:br/>
        <w:t xml:space="preserve">companies. Prior to the present operation, the capital of Ceritex was  </w:t>
        <w:br/>
        <w:t xml:space="preserve">entirely held by Mr. X and his family2.  </w:t>
        <w:br/>
        <w:t xml:space="preserve">B. THE OPERATION  </w:t>
        <w:br/>
        <w:t xml:space="preserve">6. The transaction concerns the subscription through a cash capital increase of 50% of the share capital and voting rights of Ceritex by Faceo. Upon completion of the proposed operation, Ceritex will be owned 50% by Faceo and 50% by Mr. X and his family. Given the specific rights provided for by a pact signed between the parties on February 22, 2010, Ceritex will then be jointly controlled by the notifying parties.  </w:t>
        <w:br/>
        <w:t xml:space="preserve">* * *  </w:t>
        <w:br/>
        <w:t xml:space="preserve">7. Insofar as it results in the transition from exclusive control of the company Ceritex by Mr. X and his family to joint control of this company by the Faceo group, on the one hand, and Mr. X and his family, on the other hand, the notified operation constitutes a concentration within the meaning of Article L. 430-1 of the Commercial Code. Given the turnover of the companies concerned, it does not have a community dimension. On the other hand, the control thresholds mentioned in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8. Sofinord and Ceritex are present before the operation in the market for reception services in companies, located upstream of the technical and administrative management of real estate complexes in which Faceo operates. These two markets are therefore concerned by the operation.  </w:t>
        <w:br/>
        <w:t xml:space="preserve">1 See the letter from the Minister of Economy No. C2007-130 of September 25, 2007. It should be noted, however, that the Vinci group notified  </w:t>
        <w:br/>
        <w:t xml:space="preserve">on June 22, 2010, to the Competition Authority the project for exclusive control of the Faceo group.  </w:t>
        <w:br/>
        <w:t xml:space="preserve">2 66% of the capital of the company Ceritex was indirectly held by Mr. X and his family, via the company Sofinord.  </w:t>
        <w:br/>
        <w:t>2</w:t>
      </w:r>
    </w:p>
    <w:p>
      <w:r>
        <w:t xml:space="preserve">A. DELIMITATION OF PRODUCT MARKETS  </w:t>
        <w:br/>
        <w:t xml:space="preserve">1. THE MARKET FOR TECHNICAL AND ADMINISTRATIVE MANAGEMENT OF REAL ESTATE COMPLEXES  </w:t>
        <w:br/>
        <w:t xml:space="preserve">9. The competition authority has noted, in its previous decisions3, that the technical and administrative management of real estate complexes (known as "facility management") involves "the management and execution of various services for occupants (known as 'soft services' in English) and for buildings (known as 'hard services' in English) of a company site." This activity is thus intended to organize and implement the means to provide the company with a coherent, comprehensive, and adequate service to address all operational issues that do not concern its core business. This activity comprises three main areas: (i) space and infrastructure management (building services), (ii) people and their organization management (people services), and (iii) management. More specifically, building services include services such as technical maintenance and site security, while people services cover the management of amenities (meeting rooms, keys and badges, reception, switchboard, document management, etc.). Management involves coordinating the subcontractors operating on the site and managing the corresponding operating budget.  </w:t>
        <w:br/>
        <w:t xml:space="preserve">10. The community4 and national5 decision-making practice of competition authorities has considered that this activity could constitute a relevant market. Indeed, from the demand side, clients wish to entrust the management of several services to a single interlocutor. From the supply side, there are operators specialized in providing a comprehensive offer, such as Faceo but also Cofely and Dalkia. Thus, contracts concluded between a technical and administrative management service provider for real estate complexes and a client are most often multi-service contracts including different types of services and generally subject to a call for tenders stipulating the various expected services.  </w:t>
        <w:br/>
        <w:t xml:space="preserve">11. However, a segmentation of the technical and administrative management activity of real estate complexes according to the type of services offered has been considered (building services, people services, management and oversight), as operators are more or less specialized in certain services and these various services require different skills6.  </w:t>
        <w:br/>
        <w:t xml:space="preserve">12. Furthermore, the decision-making practice7 has considered a segmentation of the technical and administrative management activity of real estate complexes according to the client's sector of activity.  </w:t>
        <w:br/>
        <w:t xml:space="preserve">13. Regarding the present operation, the competitive analysis will be conducted on the overall market for technical and administrative management of real estate complexes as well as on its possible segments according to the type of services and the client's sector of activity.  </w:t>
        <w:br/>
        <w:t xml:space="preserve">14. However, the question of the precise delimitation of the market for technical and administrative management of buildings may be left open, as whatever hypothesis is retained, the conclusions of the competitive analysis will remain unchanged.  </w:t>
        <w:br/>
        <w:t xml:space="preserve">3 See the decisions of the Competition Authority No. 09-DCC-19 of July 20, 2009, and No. 09-DCC-33 of July 30, 2009, as well as the letter from the Minister of Economy, Employment and Finance No. C2007-130 of September 25, 2007.  </w:t>
        <w:br/>
        <w:t xml:space="preserve">4 Decisions of the European Commission COMP/M.2063 SEI Mitsubishi Electric/JV of August 21, 2000, and COMP/M.3172 Ferrovial/Amy of May 27, 2003.  </w:t>
        <w:br/>
        <w:t xml:space="preserve">5 Decisions of the Competition Authority No. 09-DCC-19 of July 20, 2009, and No. 09-DCC-33 of July 30, 2009.  </w:t>
        <w:br/>
        <w:t xml:space="preserve">6 Decisions of the Competition Authority No. 09-DCC-19 of July 20, 2009, and No. 09-DCC-33 of July 30, 2009.  </w:t>
        <w:br/>
        <w:t xml:space="preserve">7 Decisions of the Competition Authority No. 09-DCC-19 of July 20, 2009, and No. 09-DCC-33 of July 30, 2009.  </w:t>
        <w:br/>
        <w:t>3</w:t>
      </w:r>
    </w:p>
    <w:p>
      <w:r>
        <w:rPr>
          <w:b/>
        </w:rPr>
        <w:t>[Pages 4–6]</w:t>
      </w:r>
    </w:p>
    <w:p>
      <w:r>
        <w:t xml:space="preserve">2. THE MARKET FOR PHYSICAL AND TELEPHONE RECEPTION IN COMPANIES  </w:t>
        <w:br/>
        <w:t xml:space="preserve">15. The joint venture operates in the sector of physical and telephone reception in companies. The services thus provided by Ceritex can be offered either to an end client or to a facility management operator subcontracting such services. In the latter case, the physical and telephone reception services in companies may constitute a market upstream of the technical and administrative management of buildings.  </w:t>
        <w:br/>
        <w:t xml:space="preserve">16. However, in the absence of competitive issues, the question regarding the existence of a market for physical and telephone reception services in companies can remain open.  </w:t>
        <w:br/>
        <w:t xml:space="preserve">B. GEOGRAPHICAL DELIMITATION OF MARKETS  </w:t>
        <w:br/>
        <w:t xml:space="preserve">17. The community8 and national9 competition authorities, while leaving the question open, have considered that the markets for the technical and administrative management of real estate complexes could have a national dimension.  </w:t>
        <w:br/>
        <w:t xml:space="preserve">18. The parties to the present operation confirm this delimitation by specifying that operators in the facility management sector provide their services on a national scale for their clients. Thus, contracts often stipulate services to be performed at multiple sites, predominantly located in different departments or regions. For example, the parties indicate that Faceo operates throughout the national territory for all of its clients.  </w:t>
        <w:br/>
        <w:t xml:space="preserve">19. Following the model of the delimitation adopted for the markets of technical and administrative management of real estate complexes, the parties propose to also adopt a national dimension for the market of reception in companies.  </w:t>
        <w:br/>
        <w:t xml:space="preserve">20. In this case, the competitive analysis on both the markets for technical and administrative management of real estate complexes and the market for reception in companies will be conducted at the national level. However, in the absence of competitive issues, the question of the precise delimitation of these markets can remain open.  </w:t>
        <w:br/>
        <w:t xml:space="preserve">III. Competitive Analysis  </w:t>
        <w:br/>
        <w:t xml:space="preserve">21. The effects on competition of the operation must be analyzed due to the presence of the joint venture in a market that is upstream of the one in which one of the parent companies operates (vertical effects), Ceritex being intended to be active in the reception market, one of the outlets being the "facility management" market in which Faceo operates.  </w:t>
        <w:br/>
        <w:t xml:space="preserve">8 Decisions of the European Commission COMP/M.2063 and COMP/M.3172 cited above.  </w:t>
        <w:br/>
        <w:t xml:space="preserve">9 Decisions of the competition authority n°09-DCC-19 of July 20, 2009 and n°09-DCC-33 of July 30, 2009.  </w:t>
        <w:br/>
        <w:t xml:space="preserve">22. Furthermore, the simultaneous presence of the two parent companies, on the one hand, in the downstream market of the one in which their joint subsidiary will operate and, on the other hand, in markets located upstream and downstream of each other, may give rise to a risk of coordination of their activities.  </w:t>
        <w:br/>
        <w:t xml:space="preserve">A. ANALYSIS OF VERTICAL EFFECTS  </w:t>
        <w:br/>
        <w:t xml:space="preserve">23. The decision-making practice of competition authorities generally dismisses the risks of harm to competition through vertical effects when the market share of the companies concerned in the considered markets does not exceed 30%10.  </w:t>
        <w:br/>
        <w:t xml:space="preserve">24. In this case, according to the estimates of the notifying parties, the amount of sales of physical and telephone reception services in companies represented, in 2009, 304 million euros11. In this market, Ceritex's market share is estimated at [0-5%].  </w:t>
        <w:br/>
        <w:t xml:space="preserve">25. Furthermore, in the downstream market for the technical and administrative management of real estate complexes, estimated by the parties at 5.2 billion euros in 200912, the position of the Faceo group is [5-10%]. In the more restricted market of services to occupants, estimated at 1.7 billion euros, Faceo's position is [5-10%]. It should also be added that operators in the facility management sector are not the only outlets available to providers of reception services in companies, as they have the option to offer their services directly to end clients.  </w:t>
        <w:br/>
        <w:t xml:space="preserve">26. Consequently, following the proposed operation, the parties will not be able to lock access either to clients in the final market or to reception services in companies in the market upstream of facility management.  </w:t>
        <w:br/>
        <w:t xml:space="preserve">27. It follows from the above that the notified operation is not likely to harm competition in the relevant markets through horizontal or vertical effects.  </w:t>
        <w:br/>
        <w:t xml:space="preserve">B. RISK OF COORDINATION OF PARENT COMPANIES  </w:t>
        <w:br/>
        <w:t xml:space="preserve">28. The creation of a joint venture is likely to encourage the parent companies to coordinate their competitive behaviors in the markets where they are active. These risks of coordination between parent companies are analyzed by competition authorities with regard to three cumulative criteria:  </w:t>
        <w:br/>
        <w:t xml:space="preserve">there must be a causal link between the creation of the joint venture and the emergence of coordination risks for the parent companies or their reinforcement;  </w:t>
        <w:br/>
        <w:t xml:space="preserve">the coordination must have a certain degree of plausibility, meaning it must be possible and present an economic interest for the parent companies;  </w:t>
        <w:br/>
        <w:t xml:space="preserve">this coordination must have a significant effect on competition.  </w:t>
        <w:br/>
        <w:t xml:space="preserve">29. In this case, it is necessary to verify that the operation is not likely to encourage the parent companies to coordinate their competitive behavior, firstly, due to their simultaneous presence in the market for the technical and administrative management of real estate complexes and, secondly, due to the presence of Sofinord in the market for physical and telephone reception in companies, which is upstream of the market for the technical and administrative management of real estate complexes.  </w:t>
        <w:br/>
        <w:t xml:space="preserve">30. In the market for the technical and administrative management of real estate complexes, Sofinord and Faceo hold market shares of less than 1% and 6%, respectively, whether this market encompasses all services or is segmented by type of service and sector of activity. Therefore, any potential horizontal coordination of the parent companies in this market is not likely to have a significant effect on competition.  </w:t>
        <w:br/>
        <w:t xml:space="preserve">31. In the market for physical and telephone reception in companies, Sofinord will hold a market share of [20-30%] and Ceritex, their joint subsidiary, [0-5%]. Consequently, even if Sofinord were encouraged to contract preferentially with Faceo, an alternative offer is available from competitors such as Penelope TEA (27% market share), City One (11%), Charlestown (10%), Securitas Accueil (8%), or other players with smaller positions such as CC Team Aurore, 7 Accueil, Charleen, or ASC.  </w:t>
        <w:br/>
        <w:t xml:space="preserve">32. Finally, given the limited market shares of the parties in the market for the technical and administrative management of real estate complexes, the operation is not likely to make access to outlets more difficult for Sofinord's competitors.  </w:t>
        <w:br/>
        <w:t xml:space="preserve">33. It follows from the preceding elements that the notified operation is not likely to harm competition in the relevant markets due to a risk of coordination of the competitive behavior of the parent companies.  </w:t>
        <w:br/>
        <w:t xml:space="preserve">IV. Ancillary Restrictions  </w:t>
        <w:br/>
        <w:t>34. The partners have signed an agreement that includes various exclusivity and non-competition clauses between the parent companies and the joint venture. These can be considered as directly related and necessary to the notified operation, except for the prohibition imposed on Faceo, for a period of 18 months after losing its status as a partner, from acquiring any interest in a company that would provide services of the same nature as the joint venture. This restriction is only directly related and necessary to the operation to the extent that it does not prevent Faceo from purchasing shares solely for investment purposes, without granting it, directly or indirectly, management functions or substantial influence in the competing company.</w:t>
      </w:r>
    </w:p>
    <w:p>
      <w:r>
        <w:rPr>
          <w:b/>
        </w:rPr>
        <w:t>[Pages 7–7]</w:t>
      </w:r>
    </w:p>
    <w:p>
      <w:r>
        <w:t xml:space="preserve">DECIDES  </w:t>
        <w:br/>
        <w:t xml:space="preserve">Sole Article: The operation notified under number 10-0051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