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https://www.autoritedelaconcurrence.fr/fr/decision-de-controle-des-concentrations/relative-la-prise-de-controle-conjoint-de-la-societe-92</w:t>
      </w:r>
    </w:p>
    <w:p>
      <w:r>
        <w:t>Pages translated : 2</w:t>
      </w:r>
    </w:p>
    <w:p/>
    <w:p>
      <w:r>
        <w:rPr>
          <w:b/>
        </w:rPr>
        <w:t>[Pages 1–2]</w:t>
      </w:r>
    </w:p>
    <w:p>
      <w:r>
        <w:t xml:space="preserve">FRENCH REPUBLIC  </w:t>
        <w:br/>
        <w:t xml:space="preserve">Decision No. 17-DCC-199 of November 29, 2017  </w:t>
        <w:br/>
        <w:t xml:space="preserve">regarding the joint control acquisition of the company Vilaumag by the  </w:t>
        <w:br/>
        <w:t xml:space="preserve">company ITM Entreprises and the Carbonnaux consortium  </w:t>
        <w:br/>
        <w:t xml:space="preserve">The Competition Authority,  </w:t>
        <w:br/>
        <w:t xml:space="preserve">Having regard to the complete notification file submitted to the mergers department on November 2, 2017,  </w:t>
        <w:br/>
        <w:t xml:space="preserve">concerning the joint control acquisition of the company Vilaumag by the company ITM Entreprises and  </w:t>
        <w:br/>
        <w:t xml:space="preserve">the Carbonnaux consortium, formalized by a memorandum of understanding dated June 23,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ITM Entreprises and the Carbonnaux  </w:t>
        <w:br/>
        <w:t xml:space="preserve">consortium of joint control of the company Vilaumag, which operates a food-dominant retail outlet with an area of 5,660 m², under the Intermarché brand, located in the city of Senlis (60). This operation constitutes a concentration operation within the meaning of Article L. 430-1 of the Commercial Code. Given the turnover achieved by the companies involved,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17-236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