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https://www.autoritedelaconcurrence.fr/fr/decision-de-controle-des-concentrations/relative-la-prise-de-controle-conjoint-de-la-societe-94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17-DCC-229 of December 27, 2017  </w:t>
        <w:br/>
        <w:t xml:space="preserve">regarding the joint control acquisition of the company Telvanju by the  </w:t>
        <w:br/>
        <w:t xml:space="preserve">company ITM Entreprises and the Cordat consortium  </w:t>
        <w:br/>
        <w:t>The Competition Authority,</w:t>
      </w:r>
    </w:p>
    <w:p>
      <w:r>
        <w:t xml:space="preserve">Having regard to the complete notification file sent to the mergers department on December 6, 2017,  </w:t>
        <w:br/>
        <w:t xml:space="preserve">concerning the joint control acquisition of the company Telvanju by the company ITM Entreprises and the  </w:t>
        <w:br/>
        <w:t>Cordat consortium, formalized by a letter of intent dated August 29, 2017;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the company ITM Entreprises and the Cordat  </w:t>
        <w:br/>
        <w:t xml:space="preserve">consortium of joint control of the company Telvanju. It constitutes a concentration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However, the control thresholds related to  </w:t>
        <w:br/>
        <w:t xml:space="preserve">retail trade mentioned in II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 xml:space="preserve">2. The markets concerned by the operation are those of the distribution of spare parts and automotive  </w:t>
        <w:br/>
        <w:t xml:space="preserve">accessories and of maintenance and repair services for motor vehicles, which are consistently defined by the  </w:t>
        <w:br/>
        <w:t xml:space="preserve">decision-making practice of the Competition Authority.  </w:t>
        <w:br/>
        <w:t xml:space="preserve">3. Regardless of the segmentations retained, the addition of the market shares of the parties resulting from this  </w:t>
        <w:br/>
        <w:t xml:space="preserve">operation does not exceed two points.  </w:t>
        <w:br/>
        <w:t xml:space="preserve">4. Considering the elements of the file and in particular point 398 of the guidelines of the Competition  </w:t>
        <w:br/>
        <w:t>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17-240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