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https://www.autoritedelaconcurrence.fr/fr/decision-de-controle-des-concentrations/relative-la-prise-de-controle-conjoint-de-la-societe-96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17-DCC-45 of April 11, 2017  </w:t>
        <w:br/>
        <w:t xml:space="preserve">regarding the joint control acquisition of the company Jorogis by the  </w:t>
        <w:br/>
        <w:t xml:space="preserve">companies Tigaby and ITM Entreprises  </w:t>
        <w:br/>
        <w:t xml:space="preserve">The Competition Authority,  </w:t>
        <w:br/>
        <w:t xml:space="preserve">Having regard to the notification file submitted in full to the mergers department on March 10, 2017,  </w:t>
        <w:br/>
        <w:t xml:space="preserve">concerning the joint control acquisition of the company Jorogis by the companies Tigaby and ITM  </w:t>
        <w:br/>
        <w:t xml:space="preserve">Entreprises, formalized by a pre-contractual commitment agreement dated January 25,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companies Tigaby and ITM Entreprises of the  </w:t>
        <w:br/>
        <w:t xml:space="preserve">joint control of the company Jorogis, which operates a predominantly food retail outlet under the  </w:t>
        <w:br/>
        <w:t xml:space="preserve">Intermarché brand in the city of Guénange (57). This operation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retail control thresholds mentioned in point II of Article L. 430-2 of the Commercial Code  </w:t>
        <w:br/>
        <w:t xml:space="preserve">are exceeded. This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17-036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