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https://www.autoritedelaconcurrence.fr/fr/decision-de-controle-des-concentrations/relative-la-prise-de-controle-conjoint-de-la-societe-99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18-DCC-117 of July 13, 2018  </w:t>
        <w:br/>
        <w:t xml:space="preserve">regarding the joint control acquisition of the company Nexteam Group  </w:t>
        <w:br/>
        <w:t xml:space="preserve">by the company Tikehau Capital and the Asquini and Poux families  </w:t>
        <w:br/>
        <w:t xml:space="preserve">The Competition Authority,  </w:t>
        <w:br/>
        <w:t xml:space="preserve">Having regard to the complete notification file submitted to the mergers department on June 19, 2018,  </w:t>
        <w:br/>
        <w:t xml:space="preserve">concerning the joint control acquisition of the company Nexteam Group by the company Tikehau Capital  </w:t>
        <w:br/>
        <w:t xml:space="preserve">and the Asquini and Poux families, and formalized by a share transfer agreement dated  </w:t>
        <w:br/>
        <w:t xml:space="preserve">May 24,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Nexteam Group,  </w:t>
        <w:br/>
        <w:t xml:space="preserve">active in the machining market, by the company Tikehau Capital and the Asquini and Poux families.  </w:t>
        <w:br/>
        <w:t xml:space="preserve">It constitutes a concentration operation within the meaning of Article L. 430-1 of the Commercial Code.  </w:t>
        <w:br/>
        <w:t xml:space="preserve">Given the revenues generated by the companies concerned, the operation does not fall under the jurisdiction of the European Union.  </w:t>
        <w:br/>
        <w:t xml:space="preserve">On the other hand, the control thresholds mentioned in point I of Article L. 430-2 of the Commercial Code are exceeded.  </w:t>
        <w:br/>
        <w:t xml:space="preserve">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18-120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