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https://www.autoritedelaconcurrence.fr/fr/decision-de-controle-des-concentrations/relative-la-prise-de-controle-conjoint-de-la-societe-aalto</w:t>
      </w:r>
    </w:p>
    <w:p>
      <w:r>
        <w:t>Pages translated : 4</w:t>
      </w:r>
    </w:p>
    <w:p/>
    <w:p>
      <w:r>
        <w:rPr>
          <w:b/>
        </w:rPr>
        <w:t>[Pages 1–3]</w:t>
      </w:r>
    </w:p>
    <w:p>
      <w:r>
        <w:t xml:space="preserve">FRENCH REPUBLIC  </w:t>
        <w:br/>
        <w:t xml:space="preserve">Decision No. 16-DCC-41 of March 10, 2016  </w:t>
        <w:br/>
        <w:t xml:space="preserve">regarding the joint control of Aalto Power SAS  </w:t>
        <w:br/>
        <w:t>by Aiolos SAS and the Caisse des Dépôts et Consignations</w:t>
      </w:r>
    </w:p>
    <w:p>
      <w:r>
        <w:t xml:space="preserve">The Competition Authority,  </w:t>
        <w:br/>
        <w:t xml:space="preserve">Having regard to the notification file submitted in full to the merger service on February 10, 2016,  </w:t>
        <w:br/>
        <w:t xml:space="preserve">regarding the joint control of Aalto Power SAS by Aiolos SAS and the Caisse des Dépôts et Consignations, formalized by a share transfer and acquisition agreement, a shareholders' agreement between the CDC and Aiolos, and a memorandum of understanding dated December 18, 2015;  </w:t>
        <w:br/>
        <w:t xml:space="preserve">Having regard to Book IV of the Commercial Code relating to price freedom and competition, and in particular its Articles L. 430-1 to L. 430-7;  </w:t>
        <w:br/>
        <w:t xml:space="preserve">Having regard to the additional elements provided by the parties during the investigation;  </w:t>
        <w:br/>
        <w:t>Adopts the following decision:</w:t>
      </w:r>
    </w:p>
    <w:p>
      <w:r>
        <w:t xml:space="preserve">I. The concerned companies and the operation  </w:t>
        <w:br/>
        <w:t xml:space="preserve">1. Aiolos SAS (hereinafter "Aiolos") is a holding company owned by Financière Neptune, which is itself controlled by Prométhée Group (hereinafter "Prométhée"), the company at the head of the NGE group (hereinafter "NGE"). NGE is organized around six main areas of activity: earthworks and roads and various networks, pipelines and networks, geotechnical and safety works, civil engineering, road and railway equipment. Prométhée also engages in activities in the sectors of hospitality, renewable energy electricity production, quarries, and cosmetics.  </w:t>
        <w:br/>
        <w:t xml:space="preserve">2. The Caisse des Dépôts et Consignations (hereinafter "the CDC") is a public establishment with a special legal status, governed by Articles L. 518-2 and following of the Monetary and Financial Code. It fulfills missions of general interest in support of public policies conducted by the State and local authorities. It also engages in competitive activities in the markets. These are grouped around four poles: (i) the environment, (ii) real estate through its subsidiaries Société Nationale Immobilière and Icade, (iii) investment and private equity, and (iv) services. The CDC, whose governance mode ensures the autonomy of this institution which manages private funds requiring special protection1, is placed under the supervision and guarantee of the legislative authority.  </w:t>
        <w:br/>
        <w:t xml:space="preserve">3. Aalto Power SAS (hereinafter "Aalto Power"), the company at the head of the Aalto Power group, is currently owned by Infravia, a professional private equity fund represented by its management company Infravia Capital Partners and by Financière Neptune, represented by Prométhée. Aalto Power owns subsidiaries operating the following wind farms: Le Fond d’Être, Le Florembeau, Orvilliers, Gamaches, Boussac, Chambonchard, Croix Didier, and Pièce du Roi.  </w:t>
        <w:br/>
        <w:t xml:space="preserve">4. The notified operation is formalized by a share transfer and acquisition agreement between Infravia and the CDC, a shareholders' agreement between the CDC and Aiolos, a memorandum of understanding dated December 18, 2016, as well as by the draft articles of association of the companies Aiolos and Aalto Power. It will consist of the acquisition by the CDC of the shares held by Infravia in the capital of Aalto Power and then the joint control of Aalto Power by Aiolos and the CDC, at 50.1% and 49.9% respectively, each having equivalent veto rights over its strategic decisions. Indeed, the shareholders' agreement of Aalto Power provides that its decisions, notably strategic decisions relating to the business plan, annual budget, investments, and hiring and firing of its employees or executives, will be made by the supervisory committee, composed of four members, two members appointed at the proposal of each of its two shareholders, by simple majority in the presence of at least three of these members. The president elected by the supervisory board will not have a casting vote.  </w:t>
        <w:br/>
        <w:t xml:space="preserve">5. As it results in the joint control of Aalto Power by Aiolos and the CDC, the operation constitutes a concentration within the meaning of Article L. 430-1 of the Commercial Code.  </w:t>
        <w:br/>
        <w:t>6. The concerned companies together achieve a total turnover excluding taxes on a global scale of more than 150 million euros (Prométhée: […] for the fiscal year ending December 31, 2014; the CDC: […] euros for the same fiscal year; Aalto Power: […] for the same fiscal year). Two of the concerned companies have achieved a total turnover excluding taxes in France exceeding 50 million euros (Prométhée: […] euros; the CDC: […] euros). Given these turnover figures, the thresholds set out in Article 1, paragraph 2, a) and b) of Council Regulation (EC) No. 139/2004 of January 20, 2004, are met. Nevertheless, since each of the concerned companies generates more than two-thirds of its turnover in the European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7. The operation results in an overlap of activities in the sector of electricity production and wholesale.</w:t>
      </w:r>
    </w:p>
    <w:p>
      <w:r>
        <w:t xml:space="preserve">A. THE MARKETS FOR ELECTRICITY PRODUCTION AND WHOLESALE  </w:t>
        <w:br/>
        <w:t xml:space="preserve">8. In the electricity sector, national2 and European3 competition authorities generally distinguish the following product markets, from upstream to downstream: (i) production and wholesale, (ii) trading, (iii) transmission, (iv) distribution, and (v) retail supply of electricity.  </w:t>
        <w:br/>
        <w:t xml:space="preserve">9. The market for electricity production and wholesale4 includes, on the supply side, not only electricity produced, notably by power plants, but also electricity imports into France via interconnections5. Decision-making practice has not considered it relevant to perform a sub-segmentation within the market for electricity production and wholesale based on the type of energy6.  </w:t>
        <w:br/>
        <w:t>10. The question of the exact delimitation of the relevant service markets can be left open in this case, as the conclusions of the competitive analysis remain unchanged, regardless of the delimitations retained.</w:t>
      </w:r>
    </w:p>
    <w:p>
      <w:r>
        <w:t xml:space="preserve">B. GEOGRAPHICAL MARKET  </w:t>
        <w:br/>
        <w:t xml:space="preserve">11. Decision-making practice has considered that the markets for electricity production and wholesale are of national dimension, notably due to the diversity of the regulatory systems in place7. In this case, the parties specify that renewable energy producers primarily sell the electricity produced to EDF, which is obliged to purchase it. It estimates that EDF thus purchases about 95% of the wind energy produced on the territory.  </w:t>
        <w:br/>
        <w:t>12. The question of the exact delimitation of the relevant geographical markets can be left open, as the conclusions of the competitive analysis remain unchanged, regardless of the delimitations retained.</w:t>
      </w:r>
    </w:p>
    <w:p>
      <w:r>
        <w:t xml:space="preserve">2 See the letter from the Minister of Economy, Industry and Employment dated July 2, 2008, to the boards of the company A2A, C2008-42, regarding a concentration in the sectors of electricity production, urban heating and cooling networks, and the production and supply of heat, and the decisions of the Competition Authority No. 09-DCC-28 regarding the exclusive control of POWEO by Österreichische Elektrizitätswirtschafts-Aktiengesellschaft, No. 11-DCC-140 of September 23, 2011, regarding the exclusive control by Cube Energy SCA of Idex groupe SAS, No. 12-DCC-133 of September 7, 2012, regarding the exclusive control by KKR &amp; Co LP of A2A Coriance and its subsidiaries, No. 12-DCC-176 of December 12, 2012, regarding the joint control of FIPA SAS by GEG Energies Nouvelles et Renouvelables and Fonroche Investissements, and No. 14-DCC-195 of December 31, 2014, regarding the exclusive control of Juwi EnR by Neoen.  </w:t>
        <w:br/>
        <w:t xml:space="preserve">3 See the decisions of the European Commission No. COMP/M.5224 – EDF/British Energy of December 22, 2008, and No. COMP/M.5170 – E.On/Endesa Europa/Viesgo of June 19, 2008.  </w:t>
        <w:br/>
        <w:t xml:space="preserve">4 See the decisions of the European Commission No. COMP/M.4180 Gaz de France/Suez of November 14, 2006, COMP/M.4994 Electrabel/Compagnie du Rhône of April 29, 2008; as well as the aforementioned letter from the Minister of Economy and the decisions of the Competition Authority No. 09-DCC-28, No. 11-DCC-140, and No. 12-DCC-133.  </w:t>
        <w:br/>
        <w:t xml:space="preserve">5 See the decisions of the Competition Authority No. 09-DCC-028 and No. 12-DCC-133.  </w:t>
        <w:br/>
        <w:t xml:space="preserve">6 See the decisions of the European Commission No. COMP/M.7352 – GDF Suez / Soper / Natixis / LCS1 / LCS2 / LCS5 / LCS5 / LCS9 / LCSGO of November 3, 2014, No. COMP/M.6540 – Dong Energy Borkum Riffgrund I Holdco / Boston Holding / Borkum Riffgrund I Offshore WindPark of May 10, 2012, No. COMP/M.5366 – Iberdrola Renovables / Gamesa of December 4, 2008, and No. COMP/M.4517 – Iberdrola / Scottish Power of March 26, 2007, as well as the aforementioned decision of the Competition Authority No. 14-DCC-195.  </w:t>
        <w:br/>
        <w:t>7 Ibid.</w:t>
      </w:r>
    </w:p>
    <w:p>
      <w:r>
        <w:rPr>
          <w:b/>
        </w:rPr>
        <w:t>[Pages 4–4]</w:t>
      </w:r>
    </w:p>
    <w:p>
      <w:r>
        <w:t>III. Competitive Analysis</w:t>
      </w:r>
    </w:p>
    <w:p>
      <w:r>
        <w:t>13. In the national market for electricity production and wholesale in 2015, the notifying parties estimated the market share of the new entity at [0-5]% in terms of production capacity and at [0-5]% in terms of energy produced. It will continue to face competition from EDF ([80-90]%), E.On ([0-5]%), and Boralex ([0-5]%).</w:t>
      </w:r>
    </w:p>
    <w:p>
      <w:r>
        <w:t>14. Therefore, the transaction is not likely to harm competition in the market for electricity production and wholesale in France.</w:t>
      </w:r>
    </w:p>
    <w:p>
      <w:r>
        <w:t>DECIDES</w:t>
      </w:r>
    </w:p>
    <w:p>
      <w:r>
        <w:t>Sole Article: The transaction notified under number 16-015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