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https://www.autoritedelaconcurrence.fr/fr/decision-de-controle-des-concentrations/relative-la-prise-de-controle-conjoint-de-la-societe-air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23-DCC-09 of January 12, 2023  </w:t>
        <w:br/>
        <w:t xml:space="preserve">regarding the joint control acquisition of the company Air Austral by the  </w:t>
        <w:br/>
        <w:t xml:space="preserve">company Sematra and the Deleflie group  </w:t>
        <w:br/>
        <w:t xml:space="preserve">The Competition Authority,  </w:t>
        <w:br/>
        <w:t xml:space="preserve">Having regard to the complete notification file sent to the mergers department on December 21,  </w:t>
        <w:br/>
        <w:t xml:space="preserve">2022, concerning the joint control acquisition of the company Air Austral by the companies Sematra and  </w:t>
        <w:br/>
        <w:t xml:space="preserve">Deleflie, the parent company of the Deleflie group, formalized by a takeover offer letter dated December 16,  </w:t>
        <w:br/>
        <w:t xml:space="preserve">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joint control acquisition of the company Air Austral,  </w:t>
        <w:br/>
        <w:t xml:space="preserve">mainly active in the air transport sector for passengers and freight, by the company Sematra, which currently  </w:t>
        <w:br/>
        <w:t xml:space="preserve">exclusively controls the company Air Austral, and the Deleflie group, active in the sectors of optics, health,  </w:t>
        <w:br/>
        <w:t xml:space="preserve">cleaning, and labeling. It constitutes a concentration operation within the meaning of Article L. 430-1 of the  </w:t>
        <w:br/>
        <w:t xml:space="preserve">Commercial Code. Given the turnover generated by the companies concerned, the operation does not fall  </w:t>
        <w:br/>
        <w:t xml:space="preserve">under the jurisdiction of the European Union. On the other hand, the control thresholds mentioned in I of  </w:t>
        <w:br/>
        <w:t xml:space="preserve">Article L. 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22-319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