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https://www.autoritedelaconcurrence.fr/fr/decision-de-controle-des-concentrations/relative-la-prise-de-controle-conjoint-de-la-societe-akani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16-DCC-116 of July 25, 2016  </w:t>
        <w:br/>
        <w:t xml:space="preserve">regarding the joint control acquisition of the company Akani by the company  </w:t>
        <w:br/>
        <w:t xml:space="preserve">Rosidi and ITM Entreprises  </w:t>
        <w:br/>
        <w:t xml:space="preserve">The Competition Authority,  </w:t>
        <w:br/>
        <w:t xml:space="preserve">Having regard to the complete notification file sent to the mergers department on June 23, 2016,  </w:t>
        <w:br/>
        <w:t xml:space="preserve">concerning the joint control acquisition of the company Akani by the companies Rosidi and ITM  </w:t>
        <w:br/>
        <w:t xml:space="preserve">Entreprises, and formalized by a letter of intent dated May 12,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Akani, operating a  </w:t>
        <w:br/>
        <w:t xml:space="preserve">retail outlet with a predominance in food sales under the enseigne Intermarché  </w:t>
        <w:br/>
        <w:t xml:space="preserve">in the city of Abbeville (80), by the company Rosidi alongside ITM Entreprises.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competence of the European Union. On the other hand, the control thresholds related to retail  </w:t>
        <w:br/>
        <w:t xml:space="preserve">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16-116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