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https://www.autoritedelaconcurrence.fr/fr/decision-de-controle-des-concentrations/relative-la-prise-de-controle-conjoint-de-la-societe-alae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25-DCC-110 of May 7, 2025  </w:t>
        <w:br/>
        <w:t xml:space="preserve">regarding the joint control acquisition of the company Alae by  </w:t>
        <w:br/>
        <w:t xml:space="preserve">Mr. Harold Brun and Cooperative U  </w:t>
        <w:br/>
        <w:t xml:space="preserve">The Competition Authority,  </w:t>
        <w:br/>
        <w:t xml:space="preserve">Having regard to the complete notification file sent to the mergers department on April 17, 2025,  </w:t>
        <w:br/>
        <w:t xml:space="preserve">concerning the joint control acquisition of the company Alae by Mr. Harold Brun and Cooperative U,  </w:t>
        <w:br/>
        <w:t xml:space="preserve">formalized by the signing of a probationary protocol on July 26,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Mr. Harold Brun and Cooperative U, via the  </w:t>
        <w:br/>
        <w:t xml:space="preserve">company Alynes, of joint control of the company SAS Alae, which operates a food-dominant store under the  </w:t>
        <w:br/>
        <w:t xml:space="preserve">Super U brand located in Chenôve (21), with a sales area of 3,100 m², including an attached drive, a gas station, and a restaurant-cafeteria. This  </w:t>
        <w:br/>
        <w:t xml:space="preserve">operation constitutes a concentration within the meaning of Article L. 430-1 of the Commercial Code.  </w:t>
        <w:br/>
        <w:t xml:space="preserve">Considering the turnover achieved by the concerned companies, the operation does not fall under the jurisdiction of the European Union. On the other hand, the control thresholds mentioned  </w:t>
        <w:br/>
        <w:t xml:space="preserve">in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25-107 is authorized.  </w:t>
        <w:br/>
        <w:t xml:space="preserve">The Vice-President,  </w:t>
        <w:br/>
        <w:t xml:space="preserve">Thibaud Vergé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