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https://www.autoritedelaconcurrence.fr/fr/decision-de-controle-des-concentrations/relative-la-prise-de-controle-conjoint-de-la-societe-alfa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13-DCC-82 of July 1, 2013  </w:t>
        <w:br/>
        <w:t xml:space="preserve">regarding the joint control acquisition of the company Alfa and the companies  </w:t>
        <w:br/>
        <w:t xml:space="preserve">Sojay, Sodom, and Sedavi by the company ITM Entreprises and the company  </w:t>
        <w:br/>
        <w:t xml:space="preserve">Maurali  </w:t>
        <w:br/>
        <w:t xml:space="preserve">The Competition Authority,  </w:t>
        <w:br/>
        <w:t xml:space="preserve">Having regard to the complete notification file submitted to the mergers department on May 31, 2013,  </w:t>
        <w:br/>
        <w:t xml:space="preserve">concerning the joint control acquisition of the company Alfa and the companies Sojay, Sodom, and Sedavi  </w:t>
        <w:br/>
        <w:t xml:space="preserve">by the company ITM Entreprises and the company Maurali formalized by an acquisition protocol  </w:t>
        <w:br/>
        <w:t xml:space="preserve">dated March 27, 2013, and by draft statutes;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Alfa, operating a  </w:t>
        <w:br/>
        <w:t xml:space="preserve">2,200 m² food-dominant retail outlet under the Intermarché brand in the city  </w:t>
        <w:br/>
        <w:t xml:space="preserve">of Craponne (69), as well as the companies Sojay, Sodom, and Sedavi, operating food-dominant retail outlets  </w:t>
        <w:br/>
        <w:t xml:space="preserve">of 1,800 m², 1,690 m², and 2,105 m² under the Intermarché brand in  </w:t>
        <w:br/>
        <w:t xml:space="preserve">the cities of Varces Allieres and Risset (38), Domene (38), and Rumilly (74), by the company  </w:t>
        <w:br/>
        <w:t xml:space="preserve">Maurali, which is itself active in food-dominant retail, and ITM  </w:t>
        <w:br/>
        <w:t xml:space="preserve">Entreprises. It constitutes a concentration operation within the meaning of Article L. 430-1 of the  </w:t>
        <w:br/>
        <w:t xml:space="preserve">Commercial Code. Given the turnover achieved by the companies concerned,  </w:t>
        <w:br/>
        <w:t xml:space="preserve">the operation does not have a community dimension. On the other hand, the control thresholds  </w:t>
        <w:br/>
        <w:t xml:space="preserve">related to retail mentioned in point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13-088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