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https://www.autoritedelaconcurrence.fr/fr/decision-de-controle-des-concentrations/relative-la-prise-de-controle-conjoint-de-la-societe-alpina</w:t>
      </w:r>
    </w:p>
    <w:p>
      <w:r>
        <w:t>Pages translated : 2</w:t>
      </w:r>
    </w:p>
    <w:p/>
    <w:p>
      <w:r>
        <w:rPr>
          <w:b/>
        </w:rPr>
        <w:t>[Pages 1–2]</w:t>
      </w:r>
    </w:p>
    <w:p>
      <w:r>
        <w:t xml:space="preserve">FRENCH REPUBLIC  </w:t>
        <w:br/>
        <w:t xml:space="preserve">Decision No. 19-DCC-20 of February 11, 2019  </w:t>
        <w:br/>
        <w:t xml:space="preserve">regarding the joint control acquisition of the company Alpina Savoie by  </w:t>
        <w:br/>
        <w:t xml:space="preserve">the Crédit Mutuel group alongside the Galapagos group  </w:t>
        <w:br/>
        <w:t xml:space="preserve">The Competition Authority,  </w:t>
        <w:br/>
        <w:t xml:space="preserve">Having regard to the complete notification file sent to the mergers department on January 9, 2019,  </w:t>
        <w:br/>
        <w:t xml:space="preserve">concerning the joint control acquisition of the company Alpina Savoie by the Crédit Mutuel group  </w:t>
        <w:br/>
        <w:t xml:space="preserve">alongside the Galapagos group, and formalized by a memorandum of understanding dated October 25,  </w:t>
        <w:br/>
        <w:t xml:space="preserve">2018;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acquisition of the company Alpina Savoie by the  </w:t>
        <w:br/>
        <w:t xml:space="preserve">Crédit Mutuel group, via its subsidiary CM-CIC Investissement SCR, alongside the Galapagos group. It constitutes a concentration operation within the meaning of Article L. 430-1 of the Commercial Code. Given the turnover generated by the companies concerned,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consistently defined by decision-making practice. Alpina Savoie is active in the market for the production and sale of semolina made from durum wheat, as well as in the markets for the production and sale of dry grocery products and pet food. The Crédit Mutuel group is active in certain restaurant markets, located downstream of the aforementioned markets.  </w:t>
        <w:br/>
        <w:t xml:space="preserve">3. Regardless of the segmentations retained, the combined market shares of the parties are below 30%.  </w:t>
        <w:br/>
        <w:t xml:space="preserve">4. Considering the elements of the file and in particular point 384 of the guidelines of the Competition Authority relating to the control of concentrations, the operation is not likely to harm competition.  </w:t>
        <w:br/>
        <w:t xml:space="preserve">DECIDES  </w:t>
        <w:br/>
        <w:t xml:space="preserve">Single Article: The operation notified under number 18-291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