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https://www.autoritedelaconcurrence.fr/fr/decision-de-controle-des-concentrations/relative-la-prise-de-controle-conjoint-de-la-societe-amon</w:t>
      </w:r>
    </w:p>
    <w:p>
      <w:r>
        <w:t>Pages translated : 2</w:t>
      </w:r>
    </w:p>
    <w:p/>
    <w:p>
      <w:r>
        <w:rPr>
          <w:b/>
        </w:rPr>
        <w:t>[Pages 1–2]</w:t>
      </w:r>
    </w:p>
    <w:p>
      <w:r>
        <w:t xml:space="preserve">FRENCH REPUBLIC  </w:t>
        <w:br/>
        <w:t xml:space="preserve">Decision No. 22-DCC-05 of January 24, 2022  </w:t>
        <w:br/>
        <w:t xml:space="preserve">regarding the joint control acquisition of the company Amon by the  </w:t>
        <w:br/>
        <w:t xml:space="preserve">companies Loupoma and ITM Entreprises  </w:t>
        <w:br/>
        <w:t xml:space="preserve">The Competition Authority,  </w:t>
        <w:br/>
        <w:t xml:space="preserve">Having regard to the complete notification file submitted to the mergers department on January 3, 2022,  </w:t>
        <w:br/>
        <w:t xml:space="preserve">concerning the joint control acquisition of the company Amon by the companies Loupoma and ITM  </w:t>
        <w:br/>
        <w:t xml:space="preserve">Entreprises, formalized by a letter of intent signed on December 8,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Loupoma and ITM  </w:t>
        <w:br/>
        <w:t xml:space="preserve">Entreprises of the company Amon, which operates a predominantly food retail business of hypermarket type with a surface area of 2651 m² under the brand "Intermarché" located in Vendôme (41).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22-001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