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https://www.autoritedelaconcurrence.fr/fr/decision-de-controle-des-concentrations/relative-la-prise-de-controle-conjoint-de-la-societe-ams</w:t>
      </w:r>
    </w:p>
    <w:p>
      <w:r>
        <w:t>Pages translated : 2</w:t>
      </w:r>
    </w:p>
    <w:p/>
    <w:p>
      <w:r>
        <w:rPr>
          <w:b/>
        </w:rPr>
        <w:t>[Pages 1–2]</w:t>
      </w:r>
    </w:p>
    <w:p>
      <w:r>
        <w:t xml:space="preserve">FRENCH REPUBLIC  </w:t>
        <w:br/>
        <w:t xml:space="preserve">Decision No. 25-DCC-20 of January 22, 2025  </w:t>
        <w:br/>
        <w:t xml:space="preserve">regarding the joint control acquisition of the company AMS - Auto Management Service by the companies Cary Group AB, AB Invest, HNS Invest, and LVI Holding  </w:t>
        <w:br/>
        <w:t xml:space="preserve">The Competition Authority,  </w:t>
        <w:br/>
        <w:t xml:space="preserve">Having regard to the complete notification file submitted to the mergers department on January 6, 2025, concerning the joint control acquisition of the company AMS - Auto Management Service SAS by the companies Cary Group AB, AB Invest, HNS Invest, and LVI Holding, formalized by a purchase and sale option agreement signed on December 21, 2024, to which a shareholders' agreement and three synallagmatic share sale option contracts are annexed;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joint control of the company AMS - Auto Management Service (hereinafter, "AMS") by the company Cary Group AB, which is ultimately controlled by CVC Capital Partners plc and Nordic Capital Fund XI, and the companies AB Invest, HNS Invest, and LVI Holding, currently shareholders and founders of AMS. AMS is primarily active in the sector of maintenance and repair services for motor vehicles in France.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24-333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