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https://www.autoritedelaconcurrence.fr/fr/decision-de-controle-des-concentrations/relative-la-prise-de-controle-conjoint-de-la-societe-arche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26-DCC-52 of February 10, 2026  </w:t>
        <w:br/>
        <w:t xml:space="preserve">regarding the joint control acquisition of the company Arche MC2  </w:t>
        <w:br/>
        <w:t xml:space="preserve">by the companies Montefiore Investment and Activa Capital  </w:t>
        <w:br/>
        <w:t xml:space="preserve">The Competition Authority,  </w:t>
        <w:br/>
        <w:t xml:space="preserve">Having regard to the complete notification file sent to the mergers department on January 26, 2026,  </w:t>
        <w:br/>
        <w:t xml:space="preserve">concerning the joint control acquisition of the company Arche MC2 by the companies Montefiore  </w:t>
        <w:br/>
        <w:t xml:space="preserve">Investment and Activa Capital, formalized by a put option contract signed on  </w:t>
        <w:br/>
        <w:t xml:space="preserve">December 24, 2025, to which an option purchase contract was annexed;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Montefiore  </w:t>
        <w:br/>
        <w:t xml:space="preserve">Investment and Activa Capital of the company Arche MC2, specialized in the publishing of software  </w:t>
        <w:br/>
        <w:t xml:space="preserve">solutions for professionals in the medico-social and social action sectors. The operation  </w:t>
        <w:br/>
        <w:t xml:space="preserve">constitutes a concentration,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26-029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