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https://www.autoritedelaconcurrence.fr/fr/decision-de-controle-des-concentrations/relative-la-prise-de-controle-conjoint-de-la-societe-arodis</w:t>
      </w:r>
    </w:p>
    <w:p>
      <w:r>
        <w:t>Pages translated : 4</w:t>
      </w:r>
    </w:p>
    <w:p/>
    <w:p>
      <w:r>
        <w:rPr>
          <w:b/>
        </w:rPr>
        <w:t>[Pages 1–3]</w:t>
      </w:r>
    </w:p>
    <w:p>
      <w:r>
        <w:t xml:space="preserve">FRENCH REPUBLIC  </w:t>
        <w:br/>
        <w:t xml:space="preserve">Decision No. 15-DCC-188 of December 24, 2015  </w:t>
        <w:br/>
        <w:t xml:space="preserve">regarding the joint control of the company Arodis by the  </w:t>
        <w:br/>
        <w:t>[confidential] parties alongside ITM Entreprises</w:t>
      </w:r>
    </w:p>
    <w:p>
      <w:r>
        <w:t xml:space="preserve">The Competition Authority,  </w:t>
        <w:br/>
        <w:t xml:space="preserve">Having regard to the notification file submitted in full to the merger service on November 24, 2015, regarding the joint control of the company Arodis by the [confidential] parties alongside ITM Entreprises, formalized by a memorandum of understanding dated November 16, 2015;  </w:t>
        <w:br/>
        <w:t xml:space="preserve">Having regard to Book IV of the Commercial Code relating to price and competition freedom, and in particular its Articles L. 430-1 to L. 430-7;  </w:t>
        <w:br/>
        <w:t>Adopts the following decision:</w:t>
      </w:r>
    </w:p>
    <w:p>
      <w:r>
        <w:t xml:space="preserve">I. The concerned companies and the operation  </w:t>
        <w:br/>
        <w:t>1. The company ITM Entreprises (hereinafter "ITM Entreprises"), 100% controlled by the civil company of Mousquetaires, itself held by 1,403 natural persons known as "associated members," leads and animates the network of independent merchants known as the "Groupement des Mousquetaires." In its capacity as franchisor, ITM Entreprises' main activity is the management of a network of retail outlets, both food and non-food, operated by independent merchants under the following brands: Intermarché, Ecomarché, Netto, Restaumarché, Poivre Rouge, Bricomarché, and Roady. This management is carried out notably through the signing and monitoring of brand contracts with the companies operating these outlets. ITM Entreprises also provides its franchisees with various services such as prospecting, consulting, training, etc. Finally, it offers franchisees the opportunity to benefit from advantageous supply conditions from its national and regional subsidiaries, as well as from external suppliers referenced outside the "Groupement des Mousquetaires." Prior to the operation, ITM Entreprises holds exclusive control, via ITM Alimentaire Est, of the company Arodis, which operates a food-dominant retail business under the Intermarché brand, with a surface area of 1,200 m² located in the city of Rosières-près-Troyes (10).</w:t>
      </w:r>
    </w:p>
    <w:p>
      <w:r>
        <w:t xml:space="preserve">2. The [confidential] parties control the family holding Vagmex, which itself owns four companies, each operating a food-dominant retail outlet under the Intermarché brand located in Troyes (10) and Saint-Julien-les-Villas (10).  </w:t>
        <w:br/>
        <w:t xml:space="preserve">3. The operation, formalized by a memorandum of understanding dated November 16, 2015, involves the acquisition by the [confidential] parties, through the company Vagmex, of [90-100]% of the share capital of the company Arodis. ITM Entreprises will retain a minority stake granting it joint control. Indeed, the company's articles of association grant ITM Entreprises, for a period of […] years, the right to oppose any change of brand (Articles 19.1.1 and 18.1.2 of the articles of association). ITM Entreprises will also be able to block any transfer of shares and compel the partners owning ordinary shares to sell their shares in the event of a change in their control or as soon as they operate a similar business under a competing brand (Articles 11.1, 12, and 13 of the articles of association). After […] years, if ITM Entreprises no longer has the ability to block any change of brand or oppose any transfer of shares, it retains a right of first refusal on any sale of securities for an additional […] years (Article 11.2 of the articles of association).  </w:t>
        <w:br/>
        <w:t xml:space="preserve">4. As it results in the joint control by the [confidential] parties alongside ITM Entreprises of the company Arodis, the operation constitutes a concentration within the meaning of Article L. 430-1 of the Commercial Code.  </w:t>
        <w:br/>
        <w:t>5. The concerned companies operate several retail stores and together achieve a total worldwide turnover of more than 75 million euros (ITM: […] billion euros in worldwide turnover for the fiscal year ending December 31, 2014; [confidential] parties: […] million euros in turnover for the same fiscal year). The concerned companies achieve in France in the retail sector a turnover exceeding 15 million euros (ITM: […] billion euros in France for the fiscal year ending December 31, 2014; [confidential] parties: […] million euros in turnover for the same fiscal year). Given the turnover achieved by the concerned companies, the operation does not fall under the jurisdiction of the European Union. However, the control thresholds related to retail mentioned in point II of Article L. 430-2 of the Commercial Code are exceeded. This operation is therefore subject to the provisions of Articles L. 430-3 and following of the Commercial Code relating to economic concentration.</w:t>
      </w:r>
    </w:p>
    <w:p>
      <w:r>
        <w:t xml:space="preserve">II. Definition of relevant markets  </w:t>
        <w:br/>
        <w:t>6. According to the consistent practice of national and European competition authorities, two categories of markets can be defined in the food-dominant distribution sector. These are, on the one hand, "downstream" markets, of a local dimension, which bring together retail companies and consumers for the sale of consumer goods, and, on the other hand, "upstream" markets for supplying retail companies with everyday consumer goods, of a national dimension.</w:t>
      </w:r>
    </w:p>
    <w:p>
      <w:r>
        <w:t xml:space="preserve">A. DOWNSTREAM DISTRIBUTION MARKETS  </w:t>
        <w:br/>
        <w:t xml:space="preserve">1. SERVICE MARKETS  </w:t>
        <w:br/>
        <w:t xml:space="preserve">7. Regarding the retail sale of everyday consumer goods, competition authorities have distinguished six categories of commerce using several criteria, including store size, sales techniques, accessibility, the nature of the service provided, and the range of products offered: (i) hypermarkets, (ii) supermarkets, (iii) specialized trade, (iv) small retail trade, (v) discount stores, (vi) mail-order sales.  </w:t>
        <w:br/>
        <w:t xml:space="preserve">8. Hypermarkets are usually defined as food-dominant stores with a sales area equal to or greater than 2,500 m², supermarkets as food-dominant stores with a sales area less than 2,500 m² and greater than 400 m², and convenience stores as food-dominant stores with a sales area less than 400 m² and greater than 120 m². However, it should be noted that these thresholds must be used with caution and may be adapted to the specific case, considering that stores whose area is close to a threshold, either below or above, may be in direct competition in practice.  </w:t>
        <w:br/>
        <w:t>9. In this case, the company Arodis operates a food-dominant retail business with a surface area of 1,200 m². It therefore falls into the category of supermarkets.</w:t>
      </w:r>
    </w:p>
    <w:p>
      <w:r>
        <w:t xml:space="preserve">2. GEOGRAPHICAL DELIMITATION  </w:t>
        <w:br/>
        <w:t xml:space="preserve">10. In its recent decisions regarding operations involving hypermarkets or supermarkets, the Competition Authority has recalled that depending on the size of the stores concerned, the conditions of competition should be assessed in two different areas:  </w:t>
        <w:br/>
        <w:t xml:space="preserve">- a first market where the demand from consumers in an area meets the supply of hypermarkets that they can access within 30 minutes of driving and which are, from their point of view, substitutable for each other;  </w:t>
        <w:br/>
        <w:t xml:space="preserve">- a second market where the demand from consumers meets the supply of supermarkets and equivalent forms of commerce located within 15 minutes of driving time. These latter forms of commerce may include, in addition to supermarkets, hypermarkets located near consumers and discount stores.  </w:t>
        <w:br/>
        <w:t xml:space="preserve">11. Other criteria may nevertheless be taken into account to assess the impact of a concentration on the competitive situation in retail distribution markets, which may lead to refining, in the specific case, the usual delimitations presented above.  </w:t>
        <w:br/>
        <w:t>12. In this case, since the store concerned falls into the category of supermarkets, the competitive analysis will be conducted solely on the market including supermarkets, hypermarkets, and convenience stores and discount stores located within a 15-minute radius around the retail outlet in Rosières-près-Troyes (10).</w:t>
      </w:r>
    </w:p>
    <w:p>
      <w:r>
        <w:rPr>
          <w:b/>
        </w:rPr>
        <w:t>[Pages 4–4]</w:t>
      </w:r>
    </w:p>
    <w:p>
      <w:r>
        <w:t>B. UPSTREAM SUPPLY MARKETS</w:t>
      </w:r>
    </w:p>
    <w:p>
      <w:r>
        <w:t>13. Regarding supply markets, the European Commission has recognized the existence of markets of national dimension by major product groups, a delineation followed by national authorities.</w:t>
      </w:r>
    </w:p>
    <w:p>
      <w:r>
        <w:t>14. There is no reason to challenge this delineation in the context of the present operation.</w:t>
      </w:r>
    </w:p>
    <w:p>
      <w:r>
        <w:t>III. Competitive Analysis</w:t>
      </w:r>
    </w:p>
    <w:p>
      <w:r>
        <w:t>15. In the market comprising supermarkets and equivalent forms of commerce located within a 15-minute driving radius around the target store located on Route d'Auxerre in Rosières-près-Troyes, the target Intermarché represents 2.2% of the sales area. In addition to the target supermarket, other retail outlets under the Intermarché brand, four of which belong to the [confidential] parties, with areas of 2,972 m², 2,000 m², 1,783 m², 1,400 m², and 1,200 m², are present in this area and represent 16.8% of the sales area. ITM's market share following the operation will therefore amount to 18.9%. ITM's competitors in this area are Carrefour, which will hold a market share of 32.1%, Casino (22.7%), and Lidl (7.1%).</w:t>
      </w:r>
    </w:p>
    <w:p>
      <w:r>
        <w:t>16. Regarding the upstream supply markets, it should be noted that the operation is limited to a store that represents only a marginal part of the revenue generated by the ITM group in France. The acquisition is therefore not likely to significantly strengthen the purchasing power of the ITM group, across all products as well as by major product groups.</w:t>
      </w:r>
    </w:p>
    <w:p>
      <w:r>
        <w:t>17. Consequently, the operation is not likely to harm competition in the relevant markets.</w:t>
      </w:r>
    </w:p>
    <w:p>
      <w:r>
        <w:t>DECIDES</w:t>
      </w:r>
    </w:p>
    <w:p>
      <w:r>
        <w:t>Sole Article: The operation notified under number 15-219 is authorized.</w:t>
      </w:r>
    </w:p>
    <w:p>
      <w: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