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https://www.autoritedelaconcurrence.fr/fr/decision-de-controle-des-concentrations/relative-la-prise-de-controle-conjoint-de-la-societe-atacla</w:t>
      </w:r>
    </w:p>
    <w:p>
      <w:r>
        <w:t>Pages translated : 5</w:t>
      </w:r>
    </w:p>
    <w:p/>
    <w:p>
      <w:r>
        <w:rPr>
          <w:b/>
        </w:rPr>
        <w:t>[Pages 1–3]</w:t>
      </w:r>
    </w:p>
    <w:p>
      <w:r>
        <w:t xml:space="preserve">FRENCH REPUBLIC  </w:t>
        <w:br/>
        <w:t xml:space="preserve">Decision No. 10-DCC-38 of April 26, 2010  </w:t>
        <w:br/>
        <w:t xml:space="preserve">regarding the joint control of Atacla SAS by  </w:t>
        <w:br/>
        <w:t>Bamhug SA and ITM Entreprises</w:t>
      </w:r>
    </w:p>
    <w:p>
      <w:r>
        <w:t xml:space="preserve">The Competition Authority,  </w:t>
        <w:br/>
        <w:t xml:space="preserve">Having regard to the notification file submitted in full to the merger service on April 1, 2010,  </w:t>
        <w:br/>
        <w:t xml:space="preserve">regarding the acquisition of Atacla SAS ("hereinafter "Atacla") by Bamhug SA ("hereinafter "Bamhug") and ITM Entreprises, formalized by a protocol agreement signed on February 19, 2010;  </w:t>
        <w:br/>
        <w:t xml:space="preserve">Having regard to Book IV of the Commercial Code relating to price freedom and competition, and in particular Articles L. 430-1 to L. 430-7;  </w:t>
        <w:br/>
        <w:t>Adopts the following decision:</w:t>
      </w:r>
    </w:p>
    <w:p>
      <w:r>
        <w:t xml:space="preserve">I. The companies concerned and the operation  </w:t>
        <w:br/>
        <w:t xml:space="preserve">1. ITM Entreprises is a company 100% controlled by the Société civile des Mousquetaires, which is itself owned by 1,330 individuals known as "associated members," and leads and animates the network of independent merchants known as the "Groupement des Mousquetaires." As a franchisor, ITM Entreprises' main activity is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such as prospecting, consulting, training, etc. Finally, ITM Entreprises offers franchisees the opportunity to benefit from advantageous supply conditions from its national and regional subsidiaries as well as from external suppliers referenced outside the "Groupement des Mousquetaires."  </w:t>
        <w:br/>
        <w:t>2. The ITM Entreprises group achieved a total turnover excluding taxes of [20-30] billion euros during the last fiscal year ending December 31, 2008, of which [15-25] billion euros was in France.</w:t>
      </w:r>
    </w:p>
    <w:p>
      <w:r>
        <w:t xml:space="preserve">3. Bamhug is a French law company whose main purpose is holding shares in companies operating a retail outlet under the Intermarché brand. It currently holds no participation and has no activity. The company Bamhug is 99.99% owned by Mr. and Mrs. X. The remainder of Bamhug's capital is held by ITM Entreprises, through a share that does not confer any special rights.  </w:t>
        <w:br/>
        <w:t xml:space="preserve">4. Atacla is a French law company whose main purpose is the operation of a predominantly food store located in Lanton (33) under the Intermarché brand. The entire capital of the company is held by Mr. and Mrs. Y, except for one share held by ITM Entreprise which does not confer any special rights. In 2008, Atacla's total consolidated turnover, exclusively generated in France, amounted to approximately 18 million euros excluding taxes.  </w:t>
        <w:br/>
        <w:t xml:space="preserve">5. Following the operation, all shares of Atacla will be held by Bamhug, except for one share held by ITM Entreprises. The company's statutes will be modified concurrently with the completion of this operation. These statutes will grant ITM Entreprises, for a period of 15 years, the ability to block any change of brand, to oppose any transfer of shares, and to require the majority shareholders to sell the business as soon as they operate a similar business under a competing brand. Beyond this period, ITM Entreprises will retain a right of first refusal on any sale of shares for an additional five years. Furthermore, Atacla will sign, concurrently with the completion of this operation, a brand contract with ITM Entreprises under which the use of the Intermarché brand will be granted for the operation of its business. This brand contract will grant ITM Entreprises a priority right in the event of the sale of the business at a price calculated according to a predetermined formula. After the operation, Atacla will therefore be jointly controlled by Bamhug and ITM Entreprises, via a preferred share.  </w:t>
        <w:br/>
        <w:t>6. As it involves the transition from exclusive control of Mr. and Mrs. Y over Atacla to joint control by ITM Entreprises and Bamhug, the notified operation constitutes a concentration within the meaning of Article L. 430-1 of the Commercial Code. Given the turnover of the companies concerned, it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7. According to the consistent practice of national and community competition authorities, two categories of markets can be delineated in the retail sector.  </w:t>
        <w:br/>
        <w:t xml:space="preserve">1 Bamhug previously owned a company operating a retail outlet under the Intermarché brand, which it sold on January 1, 2010.  </w:t>
        <w:br/>
        <w:t xml:space="preserve">2 See in particular the decisions of the commission M.946 Intermarché/Spar of June 30, 1997, M.991 Promodès/Casino of October 30, 1997, and M.1684 Carrefour/Promodès of January 25, 2000. Also see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3</w:t>
      </w:r>
    </w:p>
    <w:p>
      <w:r>
        <w:t>food sector. On the one hand, there are the "downstream" markets, of local dimension, which involve retail businesses and consumers for the sale of consumer goods, and on the other hand, the "upstream" markets for the supply of retail businesses with everyday consumer goods, of national dimension.</w:t>
      </w:r>
    </w:p>
    <w:p>
      <w:r>
        <w:t xml:space="preserve">A. DOWNSTREAM DISTRIBUTION MARKETS  </w:t>
        <w:br/>
        <w:t xml:space="preserve">1. SERVICE MARKETS  </w:t>
        <w:br/>
        <w:t xml:space="preserve">8.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breadth of the product ranges offered: (i) hypermarkets, (ii) supermarkets, (iii) specialized trade, (iv) small retail trade, (v) maxi-discounters, (vi) mail order.  </w:t>
        <w:br/>
        <w:t xml:space="preserve">9. Supermarkets are usually defined as food-dominant stores with a sales area of less than 2,500 m2 and greater than 400 m2. However, it should be noted that these thresholds must be used with caution and may be adapted to the specific case, considering that stores whose area is close to a threshold, either below or above, may be in direct competition in practice.  </w:t>
        <w:br/>
        <w:t>10. In this case, the acquired store currently occupies a sales area of 1,948 m2. This store therefore falls into the category of supermarkets.</w:t>
      </w:r>
    </w:p>
    <w:p>
      <w:r>
        <w:t xml:space="preserve">2. GEOGRAPHICAL DELIMITATION  </w:t>
        <w:br/>
        <w:t xml:space="preserve">11. In its recent decisions regarding operations involving hypermarkets or supermarkets, the Competition Authority has recalled that two types of markets are usually distinguished based on catchment areas:  </w:t>
        <w:br/>
        <w:t xml:space="preserve">- a first market where the demand of consumers in an area meets the supply of hypermarkets that they can access within less than 30 minutes of driving and which are, from their point of view, substitutable for each other;  </w:t>
        <w:br/>
        <w:t xml:space="preserve">- a second market where the demand of consumers meets the supply of supermarkets and equivalent forms of commerce, located within less than 15 minutes of driving time. These latter forms of commerce may include, in addition to supermarkets, hypermarkets located near consumers and discount stores.  </w:t>
        <w:br/>
        <w:t xml:space="preserve">3 Decisions of the Commission in the cases M.1221 Rewe/Meinl of February 3, 1999, M.1684 Carrefour/Promodès of January 25, 2000, and M.2115 Carrefour/GB of September 28, 2000. Also see the decision C.2005-98 Carrefour/Penny Market of November 10, 2005.  </w:t>
        <w:br/>
        <w:t xml:space="preserve">4 Decisions C.2008-32 Amidis SAGC of July 9, 2008, C.2007-172 Carrefour Plane Plamidis, of February 13, 2008, C.2007-154 Système U Vergali of December 3, 2007, C.2007-05 Carrefour Sofodis of March 26, 2007, C.2006-15 Amidis Hamon of April 14, 2006, C 2005-98 Carrefour Penny Market of November 10, 2005.  </w:t>
        <w:br/>
        <w:t xml:space="preserve">5 See in particular opinion No. 00-A-06 of the Council of May 3, 2000 regarding the acquisition by Carrefour of Promodès.  </w:t>
        <w:br/>
        <w:t xml:space="preserve">6 Decisions 09-DCC-24 of July 23, 2009 Floritine/C.S.F; 09-DCC- of May 28, 2009 Frandis/Financière Perdis; 09-DCC-06 of May 20, 2009 Evolis/ITM; 09-DCC-04 of April 29, 2009 Carrefour/Noukat,  </w:t>
        <w:br/>
        <w:t>3</w:t>
      </w:r>
    </w:p>
    <w:p>
      <w:r>
        <w:rPr>
          <w:b/>
        </w:rPr>
        <w:t>[Pages 4–5]</w:t>
      </w:r>
    </w:p>
    <w:p>
      <w:r>
        <w:t>12. Other criteria may nevertheless be taken into account to assess the impact of a concentration on the competitive situation in retail distribution markets, which may lead to refining, in the specific case, the usual delineations presented above.</w:t>
      </w:r>
    </w:p>
    <w:p>
      <w:r>
        <w:t>13. In the specific case, since the store involved in the operation occupies a sales area of less than 2,500 m2 and falls into the category of supermarkets, the competitive analysis will only focus on the second market, that is, the market including all hypermarkets, supermarkets, and maxi-discounters located within a 15-minute catchment area around Lanton.</w:t>
      </w:r>
    </w:p>
    <w:p>
      <w:r>
        <w:t>B. UPSTREAM SUPPLY MARKETS</w:t>
      </w:r>
    </w:p>
    <w:p>
      <w:r>
        <w:t>14. Regarding the supply markets, the European Commission has recognized the existence of national dimension markets by major product groups, a delineation followed by national authorities.</w:t>
      </w:r>
    </w:p>
    <w:p>
      <w:r>
        <w:t>15. There is no need to challenge this delineation in the context of the present operation.</w:t>
      </w:r>
    </w:p>
    <w:p>
      <w:r>
        <w:t>III. Competitive Analysis</w:t>
      </w:r>
    </w:p>
    <w:p>
      <w:r>
        <w:t>16. In the downstream market of food distribution, including hypermarkets, supermarkets, and maxi-discounters within a 15-minute driving area around Lanton, the Intermarché operated by the company Atacla represents just over 11% of the sales areas. In the same area, another retail outlet is operated under the Intermarché brand and has a market share of approximately 7%. The market share of stores under brands owned by ITM Entreprises thus amounts to about 18%, both before and after the operation. In this area, these stores face intense competition, notably from a store operated under the Auchan brand (41% market share) and also from stores operated under brands of the Casino group (16% cumulative market share).</w:t>
      </w:r>
    </w:p>
    <w:p>
      <w:r>
        <w:t>17. The operation is therefore not likely to harm competition in the market considered.</w:t>
      </w:r>
    </w:p>
    <w:p>
      <w:r>
        <w:t>18. Regarding the upstream supply markets, the operation, which concerns only one store, is not likely to significantly strengthen the purchasing power of the ITM Entreprises group, across all products as well as by major product groups.</w:t>
      </w:r>
    </w:p>
    <w:p>
      <w:r>
        <w:t>DECIDES</w:t>
      </w:r>
    </w:p>
    <w:p>
      <w:r>
        <w:t>Sole Article: The operation notified under number 10-0036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