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https://www.autoritedelaconcurrence.fr/fr/decision-de-controle-des-concentrations/relative-la-prise-de-controle-conjoint-de-la-societe-auda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19-DCC-255 of December 17, 2019  </w:t>
        <w:br/>
        <w:t xml:space="preserve">regarding the joint control acquisition of the company Auda  </w:t>
        <w:br/>
        <w:t xml:space="preserve">by the companies Vercorine and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15, 2019, concerning the joint control acquisition of the company Auda by the companies  </w:t>
        <w:br/>
        <w:t xml:space="preserve">Vercorine and ITM Entreprises, and formalized by a memorandum of understanding dated  </w:t>
        <w:br/>
        <w:t xml:space="preserve">October 21,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Vercorine and  </w:t>
        <w:br/>
        <w:t xml:space="preserve">ITM Entreprises of the company Auda, which operates a retail store primarily selling food of the supermarket type under the Intermarché brand, with a surface area of  </w:t>
        <w:br/>
        <w:t xml:space="preserve">2,138 m², located in Die (26). It constitutes a concentration operation within the meaning of Article  </w:t>
        <w:br/>
        <w:t xml:space="preserve">L. 430-1 of the Commercial Code. Given the turnover generated by the companies  </w:t>
        <w:br/>
        <w:t xml:space="preserve">concerned, the operation does not fall under the jurisdiction of the European Union. On the other hand,  </w:t>
        <w:br/>
        <w:t xml:space="preserve">the control thresholds related to retail trade mentioned in point II of Article L. 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19-309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