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https://www.autoritedelaconcurrence.fr/fr/decision-de-controle-des-concentrations/relative-la-prise-de-controle-conjoint-de-la-societe-auxa-0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20-DCC-167 of November 23, 2020  </w:t>
        <w:br/>
        <w:t xml:space="preserve">regarding the joint control acquisition of the company Auxa by the  </w:t>
        <w:br/>
        <w:t>companies Anterne and ITM Entreprises</w:t>
      </w:r>
    </w:p>
    <w:p>
      <w:r>
        <w:t>The Competition Authority,</w:t>
      </w:r>
    </w:p>
    <w:p>
      <w:r>
        <w:t xml:space="preserve">Having regard to the complete notification file sent to the mergers department on October 29, 2020,  </w:t>
        <w:br/>
        <w:t xml:space="preserve">concerning the joint control acquisition of the company Auxa by the companies Anterne and ITM  </w:t>
        <w:br/>
        <w:t xml:space="preserve">Entreprises, formalized by a letter of intent dated October 27,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by the notifying party during the investigation;  </w:t>
        <w:br/>
        <w:t xml:space="preserve">Adopts the following decision:  </w:t>
        <w:br/>
        <w:t xml:space="preserve">1. The notified operation consists of the joint control acquisition by the companies Anterne and ITM  </w:t>
        <w:br/>
        <w:t xml:space="preserve">Entreprises of the company Auxa, which operates a predominantly food retail outlet of  </w:t>
        <w:br/>
        <w:t xml:space="preserve">supermarket type under the Intermarché brand with a surface area of 2,248 m² in Fourneaux (73).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under the  </w:t>
        <w:br/>
        <w:t xml:space="preserve">competence of the European Union. On the other hand, the retail control thresholds mentioned in  </w:t>
        <w:br/>
        <w:t xml:space="preserve">point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20-225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