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https://www.autoritedelaconcurrence.fr/fr/decision-de-controle-des-concentrations/relative-la-prise-de-controle-conjoint-de-la-societe-auxa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11-DCC-85 of May 30, 2011  </w:t>
        <w:br/>
        <w:t xml:space="preserve">regarding the joint control acquisition of the company Auxa by Ms. X and  </w:t>
        <w:br/>
        <w:t xml:space="preserve">the company ITM Entreprises  </w:t>
        <w:br/>
        <w:t xml:space="preserve">The Competition Authority,  </w:t>
        <w:br/>
        <w:t xml:space="preserve">Having regard to the complete notification file submitted to the mergers department on May 6, 2011,  </w:t>
        <w:br/>
        <w:t xml:space="preserve">concerning the acquisition of control of the company Auxa by Ms. X, jointly with the company  </w:t>
        <w:br/>
        <w:t xml:space="preserve">ITM Entreprises, formalized by an agreement dated March 7,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of the company Auxa, operating a  </w:t>
        <w:br/>
        <w:t xml:space="preserve">supermarket under the Intermarché brand in Fourneaux (73), by Ms. X, a natural person  </w:t>
        <w:br/>
        <w:t xml:space="preserve">operating a retail food store, jointly with the company ITM Entreprises. It constitutes a concentration operation within the meaning of Article L. 430-1 of the  </w:t>
        <w:br/>
        <w:t xml:space="preserve">Commercial Code. Given the turnover achieved by the companies concerned, the operation does not have a community dimension. On the other hand, the control thresholds  </w:t>
        <w:br/>
        <w:t xml:space="preserve">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11-0088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