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https://www.autoritedelaconcurrence.fr/fr/decision-de-controle-des-concentrations/relative-la-prise-de-controle-conjoint-de-la-societe-avenir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11-DCC-205 of December 19, 2011  </w:t>
        <w:br/>
        <w:t xml:space="preserve">regarding the joint control acquisition of the company Avenir by the  </w:t>
        <w:br/>
        <w:t xml:space="preserve">Helleu consortium and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28, 2011, concerning the joint control acquisition of the company Avenir by the  </w:t>
        <w:br/>
        <w:t xml:space="preserve">Helleu consortium and ITM Entreprises, formalized by a letter of intent dated November 24,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Avenir, operating  </w:t>
        <w:br/>
        <w:t xml:space="preserve">a predominantly food distribution business, under the brand Intermarché,  </w:t>
        <w:br/>
        <w:t xml:space="preserve">located in the city of La Chapelle Saint Mesmin (45), by the Helleu consortium alongside ITM  </w:t>
        <w:br/>
        <w:t xml:space="preserve">Entreprises. It constitutes a concentration operation within the meaning of Article L. 430-1 of  </w:t>
        <w:br/>
        <w:t xml:space="preserve">the Commercial Code. 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 </w:t>
        <w:br/>
        <w:t xml:space="preserve">This 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11-0230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