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https://www.autoritedelaconcurrence.fr/fr/decision-de-controle-des-concentrations/relative-la-prise-de-controle-conjoint-de-la-societe-avica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25-DCC-209 of September 10, 2025  </w:t>
        <w:br/>
        <w:t xml:space="preserve">regarding the joint control acquisition of the company Avica by the  </w:t>
        <w:br/>
        <w:t xml:space="preserve">companies CECIFAB and ITM Entreprises  </w:t>
        <w:br/>
        <w:t xml:space="preserve">The Competition Authority,  </w:t>
        <w:br/>
        <w:t xml:space="preserve">Having regard to the complete notification file sent to the mergers department on August 26, 2025,  </w:t>
        <w:br/>
        <w:t xml:space="preserve">concerning the joint control acquisition of the company Avica by the companies CECIFAB and  </w:t>
        <w:br/>
        <w:t xml:space="preserve">ITM Entreprises formalized by a memorandum of understanding signed on July 30,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CECIFAB of almost all  </w:t>
        <w:br/>
        <w:t xml:space="preserve">the shares, with the company ITM Entreprises retaining a preferred share, of the company Avica,  </w:t>
        <w:br/>
        <w:t xml:space="preserve">which operates a retail business primarily focused on food under the Intermarché brand in Le May sur Evre (49). This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25-221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