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https://www.autoritedelaconcurrence.fr/fr/decision-de-controle-des-concentrations/relative-la-prise-de-controle-conjoint-de-la-societe-axione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18-DCC-230 of December 31, 2018  </w:t>
        <w:br/>
        <w:t xml:space="preserve">regarding the joint control acquisition of the company Axione by the  </w:t>
        <w:br/>
        <w:t xml:space="preserve">companies Bouygues Énergies &amp; Services and Mirova  </w:t>
        <w:br/>
        <w:t xml:space="preserve">The Competition Authority,  </w:t>
        <w:br/>
        <w:t xml:space="preserve">Having regard to the notification file sent to the mergers department on December 10, 2018, declared  </w:t>
        <w:br/>
        <w:t xml:space="preserve">complete on December 17, 2018, concerning the joint control acquisition of the company Axione by the  </w:t>
        <w:br/>
        <w:t xml:space="preserve">companies Bouygues Énergies &amp; Services and Mirova, formalized by a declaration of intent  </w:t>
        <w:br/>
        <w:t xml:space="preserve">to carry out a share transfer operation co-signed by Mirova and Bouygues Énergies  </w:t>
        <w:br/>
        <w:t xml:space="preserve">and Services dated November 19,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notifying parties during the investigation;  </w:t>
        <w:br/>
        <w:t xml:space="preserve">Adopts the following decision:  </w:t>
        <w:br/>
        <w:t xml:space="preserve">1. The notified operation consists of the joint control acquisition of the company Axione by the  </w:t>
        <w:br/>
        <w:t xml:space="preserve">companies Bouygues Énergies &amp; Services and Mirova. It constitutes a concentration within the meaning of  </w:t>
        <w:br/>
        <w:t xml:space="preserve">Article L. 430-1 of the Commercial Code. Given the turnover achieved by the companies concerned, the  </w:t>
        <w:br/>
        <w:t xml:space="preserve">thresholds set out in Article 1, paragraph 2, a) and b) of Regulation (EC) No. 139/2004 of the Council of  </w:t>
        <w:br/>
        <w:t xml:space="preserve">January 20, 2004, are met. Nevertheless, since each of the companies concerned generates more than two  </w:t>
        <w:br/>
        <w:t xml:space="preserve">thirds of its turnover in the European Union in France, the operation does not fall under the jurisdiction of  </w:t>
        <w:br/>
        <w:t xml:space="preserve">the European Commission. On the other hand, the control thresholds mentioned in I of Article L. 430-2 of  </w:t>
        <w:br/>
        <w:t xml:space="preserve">the Commercial Code are exceeded. This operation is therefore subject to the provisions of Articles L.  </w:t>
        <w:br/>
        <w:t xml:space="preserve">430-3 and following of the Commercial Code relating to economic concentration.  </w:t>
        <w:br/>
        <w:t xml:space="preserve">2. The markets concerned by the operation are the wholesale markets for fixed telecommunications, the  </w:t>
        <w:br/>
        <w:t xml:space="preserve">market for technical services for the deployment and maintenance of telecommunications networks, as well  </w:t>
        <w:br/>
        <w:t xml:space="preserve">as the market for fixed telecommunications aimed at businesses. These markets are consistently defined by  </w:t>
        <w:br/>
        <w:t xml:space="preserve">the decision-making practice of the competition authorities.  </w:t>
        <w:br/>
        <w:t xml:space="preserve">3. Regardless of the segmentations retained, the combined market shares of the parties are  </w:t>
        <w:br/>
        <w:t xml:space="preserve">below 25%. Furthermore, the increment in market share related to the operation is less than 2 points.  </w:t>
        <w:br/>
        <w:t xml:space="preserve">4. Considering the elements of the file and in particular points 394 and 398 of the guidelines of the  </w:t>
        <w:br/>
        <w:t xml:space="preserve">Competition Authority regarding the control of concentrations, the operation is not likely to harm  </w:t>
        <w:br/>
        <w:t xml:space="preserve">competition.  </w:t>
        <w:br/>
        <w:t xml:space="preserve">DECIDES  </w:t>
        <w:br/>
        <w:t xml:space="preserve">Sole Article: The operation notified under number 18-250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