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https://www.autoritedelaconcurrence.fr/fr/decision-de-controle-des-concentrations/relative-la-prise-de-controle-conjoint-de-la-societe-batome</w:t>
      </w:r>
    </w:p>
    <w:p>
      <w:r>
        <w:t>Pages translated : 2</w:t>
      </w:r>
    </w:p>
    <w:p/>
    <w:p>
      <w:r>
        <w:rPr>
          <w:b/>
        </w:rPr>
        <w:t>[Pages 1–2]</w:t>
      </w:r>
    </w:p>
    <w:p>
      <w:r>
        <w:t>FRENCH REPUBLIC</w:t>
        <w:br/>
        <w:t>Decision No. 19-DCC-222 of November 28, 2019</w:t>
        <w:br/>
        <w:t>regarding the joint control acquisition of the company Batome by the</w:t>
        <w:br/>
        <w:t>companies ITM Entreprises and Audreylie</w:t>
        <w:br/>
        <w:t>The Competition Authority,</w:t>
      </w:r>
    </w:p>
    <w:p>
      <w:r>
        <w:t>Having regard to the complete notification file sent to the mergers department on November 4, 2019,</w:t>
        <w:br/>
        <w:t>concerning the joint control acquisition by the companies ITM Entreprises and Audreylie of the company</w:t>
        <w:br/>
        <w:t>Batome, formalized by a letter of intent dated October 26, 2019;</w:t>
      </w:r>
    </w:p>
    <w:p>
      <w:r>
        <w:t>Having regard to Book IV of the Commercial Code relating to the freedom of prices and competition, and</w:t>
        <w:br/>
        <w:t>notably its Articles L. 430-1 to L. 430-7;</w:t>
      </w:r>
    </w:p>
    <w:p>
      <w:r>
        <w:t>Having regard to the additional elements provided by the notifying parties during the investigation;</w:t>
      </w:r>
    </w:p>
    <w:p>
      <w:r>
        <w:t>Adopts the following decision:</w:t>
      </w:r>
    </w:p>
    <w:p>
      <w:r>
        <w:t>1. The notified operation consists of the joint control acquisition by the companies Audreylie and ITM</w:t>
        <w:br/>
        <w:t>Entreprises of the company Batome, which operates a retail outlet for DIY and home equipment under the Bricomarché brand, with a surface area of 4,248 m² located in Cestas (33).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19-285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