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https://www.autoritedelaconcurrence.fr/fr/decision-de-controle-des-concentrations/relative-la-prise-de-controle-conjoint-de-la-societe-bauval</w:t>
      </w:r>
    </w:p>
    <w:p>
      <w:r>
        <w:t>Pages translated : 2</w:t>
      </w:r>
    </w:p>
    <w:p/>
    <w:p>
      <w:r>
        <w:rPr>
          <w:b/>
        </w:rPr>
        <w:t>[Pages 1–2]</w:t>
      </w:r>
    </w:p>
    <w:p>
      <w:r>
        <w:t xml:space="preserve">FRENCH REPUBLIC  </w:t>
        <w:br/>
        <w:t xml:space="preserve">Decision No. 16-DCC-229 of December 29, 2016  </w:t>
        <w:br/>
        <w:t xml:space="preserve">regarding the joint control acquisition of the company Bauval by ITM Enterprises and the companies Cheikh and Hemera  </w:t>
        <w:br/>
        <w:t xml:space="preserve">The Competition Authority,  </w:t>
        <w:br/>
        <w:t xml:space="preserve">Having regard to the complete notification file submitted to the mergers department on December 5, 2016, concerning the joint control acquisition of the company Bauval by ITM Enterprises and the companies Cheikh and Hemera, formalized by a synallagmatic promise of share transfer dated November 30, 2016;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acquisition by the companies ITM Enterprises, Cheikh, and Hemera of joint control of the company Bauval, which operates a predominantly food retail outlet under the Intermarché brand in the town of Brassac-les-Mines (63). This transaction constitutes a concentration operation within the meaning of Article L. 430-1 of the Commercial Code. Given the turnover achieved by the companies concerned, the transaction does not fall under the jurisdiction of the European Union. However, the control thresholds related to retail trade mentioned in point II of Article L. 430-2 of the Commercial Code are exceeded. This transaction is therefore subject to the provisions of Articles L. 430-3 and following of the Commercial Code relating to economic concentration.  </w:t>
        <w:br/>
        <w:t>2. In light of the elements of the file, the transaction is not likely to harm competition in the relevant markets.</w:t>
      </w:r>
    </w:p>
    <w:p>
      <w:r>
        <w:t xml:space="preserve">DECIDES  </w:t>
        <w:br/>
        <w:t xml:space="preserve">Sole Article: The transaction notified under number 16-263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